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Statistics 2 – Chapter 2 – Correlation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23</w:t>
      </w:r>
    </w:p>
    <w:p>
      <w:pPr>
        <w:tabs>
          <w:tab w:val="right" w:pos="10206"/>
        </w:tabs>
        <w:spacing w:before="0" w:after="80"/>
      </w:pPr>
      <w:r>
        <w:t xml:space="preserve">(23 = Platinum, 21 = Gold, 18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An estate agent in </w:t>
      </w:r>
      <w:r>
        <w:rPr>
          <w:i/>
        </w:rPr>
        <w:t xml:space="preserve">Tornep</w:t>
      </w:r>
      <w:r>
        <w:t xml:space="preserve"> believes that houses further from the railway station are more expensive than those that are closer. She took a random sample of 22 three-bedroom houses in </w:t>
      </w:r>
      <w:r>
        <w:rPr>
          <w:i/>
        </w:rPr>
        <w:t xml:space="preserve">Tornep</w:t>
      </w:r>
      <w:r>
        <w:t xml:space="preserve"> and calculated the product moment correlation coefficient between the house price and the distance from the station to be 0.3892</w:t>
      </w:r>
    </w:p>
    <w:p>
      <w:pPr>
        <w:tabs>
          <w:tab w:val="right" w:pos="10206"/>
        </w:tabs>
        <w:spacing w:before="0" w:after="80"/>
      </w:pPr>
      <w:r>
        <w:t xml:space="preserve">Stating your hypotheses clearly, use a 5% level of significance to test the estate agent’s belief. State the critical region used in your test.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Edexcel AS October 2020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Abena and Meghan are both given the same list of 10 films.</w:t>
      </w:r>
    </w:p>
    <w:p>
      <w:pPr>
        <w:tabs>
          <w:tab w:val="right" w:pos="10206"/>
        </w:tabs>
        <w:spacing w:before="0" w:after="80"/>
      </w:pPr>
      <w:r>
        <w:t xml:space="preserve">Each of them ranks the 10 films from most favourite to least favourite.</w:t>
      </w:r>
    </w:p>
    <w:p>
      <w:pPr>
        <w:tabs>
          <w:tab w:val="right" w:pos="10206"/>
        </w:tabs>
        <w:spacing w:before="0" w:after="80"/>
      </w:pPr>
      <w:r>
        <w:t xml:space="preserve">For the differences, </w:t>
      </w:r>
      <m:oMath>
        <m:r>
          <m:t xml:space="preserve">d</m:t>
        </m:r>
      </m:oMath>
      <w:r>
        <w:t xml:space="preserve">, between their ranks for these 10 films, </w:t>
      </w:r>
      <m:oMath>
        <m:r>
          <m:t xml:space="preserve">∑</m:t>
        </m:r>
        <m:sSup>
          <m:sSupPr>
            <m:ctrlPr/>
          </m:sSupPr>
          <m:e>
            <m:r>
              <m:t xml:space="preserve">d</m:t>
            </m:r>
          </m:e>
          <m:sup>
            <m:r>
              <m:t xml:space="preserve">2</m:t>
            </m:r>
          </m:sup>
        </m:sSup>
        <m:r>
          <m:t xml:space="preserve">=84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Calculate Spearman’s rank correlation coefficient between Abena’s ranks and Meghan’s ranks.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t xml:space="preserve">A test is carried out at the 5% level of significance to see if there is agreement between their ranks for the films.</w:t>
      </w:r>
    </w:p>
    <w:p>
      <w:pPr>
        <w:tabs>
          <w:tab w:val="right" w:pos="10206"/>
        </w:tabs>
        <w:spacing w:before="0" w:after="80"/>
      </w:pPr>
      <w:r>
        <w:t xml:space="preserve">The hypotheses for the test are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rPr>
                  <m:nor/>
                </m:rPr>
                <m:t xml:space="preserve">H</m:t>
              </m:r>
            </m:e>
            <m:sub>
              <m:r>
                <m:t xml:space="preserve">0</m:t>
              </m:r>
            </m:sub>
          </m:sSub>
          <m:r>
            <m:t xml:space="preserve">:</m:t>
          </m:r>
          <m:sSub>
            <m:sSubPr>
              <m:ctrlPr/>
            </m:sSubPr>
            <m:e>
              <m:r>
                <m:t xml:space="preserve">ρ</m:t>
              </m:r>
            </m:e>
            <m:sub>
              <m:r>
                <m:rPr>
                  <m:nor/>
                </m:rPr>
                <m:t xml:space="preserve">S</m:t>
              </m:r>
            </m:sub>
          </m:sSub>
          <m:r>
            <m:t xml:space="preserve">=0</m:t>
          </m:r>
          <m:r>
            <m:t xml:space="preserve"> </m:t>
          </m:r>
          <m:sSub>
            <m:sSubPr>
              <m:ctrlPr/>
            </m:sSubPr>
            <m:e>
              <m:r>
                <m:rPr>
                  <m:nor/>
                </m:rPr>
                <m:t xml:space="preserve">H</m:t>
              </m:r>
            </m:e>
            <m:sub>
              <m:r>
                <m:t xml:space="preserve">1</m:t>
              </m:r>
            </m:sub>
          </m:sSub>
          <m:r>
            <m:t xml:space="preserve">:</m:t>
          </m:r>
          <m:sSub>
            <m:sSubPr>
              <m:ctrlPr/>
            </m:sSubPr>
            <m:e>
              <m:r>
                <m:t xml:space="preserve">ρ</m:t>
              </m:r>
            </m:e>
            <m:sub>
              <m:r>
                <m:rPr>
                  <m:nor/>
                </m:rPr>
                <m:t xml:space="preserve">S</m:t>
              </m:r>
            </m:sub>
          </m:sSub>
          <m:r>
            <m:t xml:space="preserve">&gt;0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Find the critical region for the test.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State the conclusion of the test.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An 11th film is added to the list. Abena and Meghan both agree that this film is their least favourite.</w:t>
      </w:r>
    </w:p>
    <w:p>
      <w:pPr>
        <w:tabs>
          <w:tab w:val="right" w:pos="10206"/>
        </w:tabs>
        <w:spacing w:before="0" w:after="80"/>
      </w:pPr>
      <w:r>
        <w:t xml:space="preserve">A new test is carried out at the 5% level of significance using the same hypotheses.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Determine the conclusion of this test. You should state the test statistic and the critical value used.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AS June 2022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Phil measures the concentration of a radioactive element, </w:t>
      </w:r>
      <m:oMath>
        <m:r>
          <m:t xml:space="preserve">c</m:t>
        </m:r>
      </m:oMath>
      <w:r>
        <w:t xml:space="preserve">, and the amount of dissolved solids, </w:t>
      </w:r>
      <m:oMath>
        <m:r>
          <m:t xml:space="preserve">a</m:t>
        </m:r>
      </m:oMath>
      <w:r>
        <w:t xml:space="preserve">, of 8 random samples of groundwater. His results are shown in the table below.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>
        <w:trPr>
          <w:cantSplit/>
        </w:trPr>
        <w:tc>
          <w:tcPr>
            <w:tcW w:w="1134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Sample</w:t>
            </w:r>
          </w:p>
        </w:tc>
        <w:tc>
          <w:tcPr>
            <w:tcW w:w="1134" w:type="dxa"/>
            <w:shd w:val="clear" w:color="auto" w:fill="F1F5F9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A</m:t>
              </m:r>
            </m:oMath>
          </w:p>
        </w:tc>
        <w:tc>
          <w:tcPr>
            <w:tcW w:w="1134" w:type="dxa"/>
            <w:shd w:val="clear" w:color="auto" w:fill="F1F5F9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B</m:t>
              </m:r>
            </m:oMath>
          </w:p>
        </w:tc>
        <w:tc>
          <w:tcPr>
            <w:tcW w:w="1134" w:type="dxa"/>
            <w:shd w:val="clear" w:color="auto" w:fill="F1F5F9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C</m:t>
              </m:r>
            </m:oMath>
          </w:p>
        </w:tc>
        <w:tc>
          <w:tcPr>
            <w:tcW w:w="1134" w:type="dxa"/>
            <w:shd w:val="clear" w:color="auto" w:fill="F1F5F9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D</m:t>
              </m:r>
            </m:oMath>
          </w:p>
        </w:tc>
        <w:tc>
          <w:tcPr>
            <w:tcW w:w="1134" w:type="dxa"/>
            <w:shd w:val="clear" w:color="auto" w:fill="F1F5F9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E</m:t>
              </m:r>
            </m:oMath>
          </w:p>
        </w:tc>
        <w:tc>
          <w:tcPr>
            <w:tcW w:w="1134" w:type="dxa"/>
            <w:shd w:val="clear" w:color="auto" w:fill="F1F5F9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F</m:t>
              </m:r>
            </m:oMath>
          </w:p>
        </w:tc>
        <w:tc>
          <w:tcPr>
            <w:tcW w:w="1134" w:type="dxa"/>
            <w:shd w:val="clear" w:color="auto" w:fill="F1F5F9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G</m:t>
              </m:r>
            </m:oMath>
          </w:p>
        </w:tc>
        <w:tc>
          <w:tcPr>
            <w:tcW w:w="1134" w:type="dxa"/>
            <w:shd w:val="clear" w:color="auto" w:fill="F1F5F9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H</m:t>
              </m:r>
            </m:oMath>
          </w:p>
        </w:tc>
      </w:tr>
      <w:tr>
        <w:trPr>
          <w:cantSplit/>
        </w:trPr>
        <w:tc>
          <w:tcPr>
            <w:tcW w:w="1134" w:type="dxa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c</m:t>
              </m:r>
            </m:oMath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625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700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650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645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720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600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825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665</w:t>
            </w:r>
          </w:p>
        </w:tc>
      </w:tr>
      <w:tr>
        <w:trPr>
          <w:cantSplit/>
        </w:trPr>
        <w:tc>
          <w:tcPr>
            <w:tcW w:w="1134" w:type="dxa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a</m:t>
              </m:r>
            </m:oMath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1.28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1.30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1.00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1.20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1.55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1.15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1.40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1.45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t xml:space="preserve">Given that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rPr>
                  <m:nor/>
                </m:rPr>
                <m:t xml:space="preserve">S</m:t>
              </m:r>
            </m:e>
            <m:sub>
              <m:r>
                <m:t xml:space="preserve">cc</m:t>
              </m:r>
            </m:sub>
          </m:sSub>
          <m:r>
            <m:t xml:space="preserve">=34</m:t>
          </m:r>
          <m:r>
            <m:rPr>
              <m:nor/>
            </m:rPr>
            <m:t xml:space="preserve"/>
          </m:r>
          <m:r>
            <m:t xml:space="preserve">787.5</m:t>
          </m:r>
          <m:r>
            <m:t xml:space="preserve"> </m:t>
          </m:r>
          <m:sSub>
            <m:sSubPr>
              <m:ctrlPr/>
            </m:sSubPr>
            <m:e>
              <m:r>
                <m:rPr>
                  <m:nor/>
                </m:rPr>
                <m:t xml:space="preserve">S</m:t>
              </m:r>
            </m:e>
            <m:sub>
              <m:r>
                <m:t xml:space="preserve">aa</m:t>
              </m:r>
            </m:sub>
          </m:sSub>
          <m:r>
            <m:t xml:space="preserve">=0.217</m:t>
          </m:r>
          <m:r>
            <m:rPr>
              <m:nor/>
            </m:rPr>
            <m:t xml:space="preserve"/>
          </m:r>
          <m:r>
            <m:t xml:space="preserve">287</m:t>
          </m:r>
          <m:r>
            <m:rPr>
              <m:nor/>
            </m:rPr>
            <m:t xml:space="preserve"/>
          </m:r>
          <m:r>
            <m:t xml:space="preserve">5</m:t>
          </m:r>
          <m:r>
            <m:t xml:space="preserve"> </m:t>
          </m:r>
          <m:sSub>
            <m:sSubPr>
              <m:ctrlPr/>
            </m:sSubPr>
            <m:e>
              <m:r>
                <m:rPr>
                  <m:nor/>
                </m:rPr>
                <m:t xml:space="preserve">S</m:t>
              </m:r>
            </m:e>
            <m:sub>
              <m:r>
                <m:t xml:space="preserve">ca</m:t>
              </m:r>
            </m:sub>
          </m:sSub>
          <m:r>
            <m:t xml:space="preserve">=47.7625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calculate, to 3 decimal places, the product moment correlation coefficient between the concentration of the radioactive element and the amount of dissolved solids for these groundwater samples.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Use your value of the product moment correlation coefficient to test whether or not there is evidence of a positive correlation between the concentration of this radioactive element and the amount of dissolved solids in groundwater. Use a 5% significance level. State your hypotheses clearly.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Calculate, to 3 decimal places, Spearman’s rank correlation coefficient between the concentration of the radioactive element and the amount of dissolved solids.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Use your value of Spearman’s rank correlation coefficient to test for evidence of a positive correlation between the concentration of the radioactive element and the amount of dissolved solids. Use a 5% significance level. State your hypotheses clearly.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(e)</w:t>
      </w:r>
      <w:r>
        <w:rPr>
          <w:b/>
        </w:rPr>
        <w:tab/>
      </w:r>
      <w:r>
        <w:t xml:space="preserve"> Using your conclusions in part (b) and part (d), comment on the possible relationship between these variables.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13 marks)</w:t>
      </w:r>
    </w:p>
    <w:p>
      <w:pPr>
        <w:tabs>
          <w:tab w:val="right" w:pos="10206"/>
        </w:tabs>
        <w:spacing w:before="0" w:after="80"/>
      </w:pPr>
      <w:r>
        <w:t xml:space="preserve">Edexcel S3 June 2018 Q1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  <m:r>
                <m:t xml:space="preserve">:ρ=0</m:t>
              </m:r>
              <m:r>
                <m:t xml:space="preserve"> </m:t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:ρ&gt;0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2.5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5% one-tail cv for </w:t>
            </w:r>
            <m:oMath>
              <m:r>
                <m:t xml:space="preserve">r</m:t>
              </m:r>
            </m:oMath>
            <w:r>
              <w:t xml:space="preserve"> is: 0.3598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Significant result so there is evidence to support the agent’s belief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for both hypotheses correct in terms of </w:t>
      </w:r>
      <m:oMath>
        <m:r>
          <m:t xml:space="preserve">ρ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for use of tables to find the cv of 0.3598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for a correct conclusion in context mentioning “ belief ” or description of this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[</m:t>
              </m:r>
              <m:sSub>
                <m:sSubPr>
                  <m:ctrlPr/>
                </m:sSubPr>
                <m:e>
                  <m:r>
                    <m:t xml:space="preserve">r</m:t>
                  </m:r>
                </m:e>
                <m:sub>
                  <m:r>
                    <m:t xml:space="preserve">s</m:t>
                  </m:r>
                </m:sub>
              </m:sSub>
              <m:r>
                <m:t xml:space="preserve">=1−</m:t>
              </m:r>
              <m:f>
                <m:fPr>
                  <m:type m:val="bar"/>
                </m:fPr>
                <m:num>
                  <m:r>
                    <m:t xml:space="preserve">6×84</m:t>
                  </m:r>
                </m:num>
                <m:den>
                  <m:r>
                    <m:t xml:space="preserve">10(1</m:t>
                  </m:r>
                  <m:sSup>
                    <m:sSupPr>
                      <m:ctrlPr/>
                    </m:sSupPr>
                    <m:e>
                      <m:r>
                        <m:t xml:space="preserve">0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−1)</m:t>
                  </m:r>
                </m:den>
              </m:f>
              <m:r>
                <m:t xml:space="preserve">]</m:t>
              </m:r>
            </m:oMath>
            <w:r>
              <w:br/>
            </w:r>
            <m:oMath>
              <m:r>
                <m:t xml:space="preserve">=0.4909…</m:t>
              </m:r>
            </m:oMath>
            <w:r>
              <w:t xml:space="preserve"> awrt </w:t>
            </w:r>
            <w:r>
              <w:rPr>
                <w:b/>
                <w:u w:val="single"/>
              </w:rPr>
              <w:t xml:space="preserve">0.491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awrt 0.491 (allow </w:t>
      </w:r>
      <m:oMath>
        <m:f>
          <m:fPr>
            <m:type m:val="bar"/>
          </m:fPr>
          <m:num>
            <m:r>
              <m:t xml:space="preserve">27</m:t>
            </m:r>
          </m:num>
          <m:den>
            <m:r>
              <m:t xml:space="preserve">55</m:t>
            </m:r>
          </m:den>
        </m:f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(i) </w:t>
            </w:r>
            <m:oMath>
              <m:r>
                <m:t xml:space="preserve">(1&gt;)</m:t>
              </m:r>
              <m:r>
                <m:rPr>
                  <m:nor/>
                </m:rPr>
                <m:t xml:space="preserve"/>
              </m:r>
              <m:sSub>
                <m:sSubPr>
                  <m:ctrlPr/>
                </m:sSubPr>
                <m:e>
                  <m:r>
                    <m:t xml:space="preserve">r</m:t>
                  </m:r>
                </m:e>
                <m:sub>
                  <m:r>
                    <m:t xml:space="preserve">s</m:t>
                  </m:r>
                </m:sub>
              </m:sSub>
              <m:r>
                <m:t xml:space="preserve">&gt;0.5636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(ii) (0.491 is not in the critical region)</w:t>
            </w:r>
            <w:r>
              <w:br/>
            </w:r>
            <w:r>
              <w:t xml:space="preserve">There is insufficient evidence of agreement between their film ranks.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(i) B1:</w:t>
      </w:r>
      <w:r>
        <w:rPr>
          <w:sz w:val="20"/>
        </w:rPr>
        <w:t xml:space="preserve"> Correct critical region with 0.5636 or better. Condone use of </w:t>
      </w:r>
      <m:oMath>
        <m:r>
          <m:t xml:space="preserve">ρ</m:t>
        </m:r>
      </m:oMath>
      <w:r>
        <w:rPr>
          <w:sz w:val="20"/>
        </w:rPr>
        <w:t xml:space="preserve"> instead of </w:t>
      </w:r>
      <m:oMath>
        <m:sSub>
          <m:sSubPr>
            <m:ctrlPr/>
          </m:sSubPr>
          <m:e>
            <m:r>
              <m:t xml:space="preserve">r</m:t>
            </m:r>
          </m:e>
          <m:sub>
            <m:r>
              <m:t xml:space="preserve">s</m:t>
            </m:r>
          </m:sub>
        </m:sSub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(ii) B1ft:</w:t>
      </w:r>
      <w:r>
        <w:rPr>
          <w:sz w:val="20"/>
        </w:rPr>
        <w:t xml:space="preserve"> Correct ft contextualised conclusion (must include film or ranks) based on their (a) and their CR Allow ft on their CV if a CR is not stated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new </w:t>
            </w:r>
            <m:oMath>
              <m:sSub>
                <m:sSubPr>
                  <m:ctrlPr/>
                </m:sSubPr>
                <m:e>
                  <m:r>
                    <m:t xml:space="preserve">r</m:t>
                  </m:r>
                </m:e>
                <m:sub>
                  <m:r>
                    <m:t xml:space="preserve">s</m:t>
                  </m:r>
                </m:sub>
              </m:sSub>
              <m:r>
                <m:t xml:space="preserve">=1−</m:t>
              </m:r>
              <m:f>
                <m:fPr>
                  <m:type m:val="bar"/>
                </m:fPr>
                <m:num>
                  <m:r>
                    <m:t xml:space="preserve">6×84</m:t>
                  </m:r>
                </m:num>
                <m:den>
                  <m:r>
                    <m:t xml:space="preserve">11(1</m:t>
                  </m:r>
                  <m:sSup>
                    <m:sSupPr>
                      <m:ctrlPr/>
                    </m:sSupPr>
                    <m:e>
                      <m:r>
                        <m:t xml:space="preserve">1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−1)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=0.61818…</m:t>
              </m:r>
            </m:oMath>
            <w:r>
              <w:t xml:space="preserve"> awrt </w:t>
            </w:r>
            <w:r>
              <w:rPr>
                <w:b/>
                <w:u w:val="single"/>
              </w:rPr>
              <w:t xml:space="preserve">0.618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new critical value is 0.5364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There is now sufficient evidence of agreement between their film ranks.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of formula with same </w:t>
      </w:r>
      <m:oMath>
        <m:r>
          <m:t xml:space="preserve">∑</m:t>
        </m:r>
        <m:sSup>
          <m:sSupPr>
            <m:ctrlPr/>
          </m:sSupPr>
          <m:e>
            <m:r>
              <m:t xml:space="preserve">d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and 11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awrt 0.618 (allow </w:t>
      </w:r>
      <m:oMath>
        <m:f>
          <m:fPr>
            <m:type m:val="bar"/>
          </m:fPr>
          <m:num>
            <m:r>
              <m:t xml:space="preserve">34</m:t>
            </m:r>
          </m:num>
          <m:den>
            <m:r>
              <m:t xml:space="preserve">55</m:t>
            </m:r>
          </m:den>
        </m:f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0.5364 or better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fully correct solution with awrt 0.618 and contextualised conclusion (must include film or ranks)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r=</m:t>
              </m:r>
              <m:f>
                <m:fPr>
                  <m:type m:val="bar"/>
                </m:fPr>
                <m:num>
                  <m:sSub>
                    <m:sSubPr>
                      <m:ctrlPr/>
                    </m:sSubPr>
                    <m:e>
                      <m:r>
                        <m:rPr>
                          <m:nor/>
                        </m:rPr>
                        <m:t xml:space="preserve">S</m:t>
                      </m:r>
                    </m:e>
                    <m:sub>
                      <m:r>
                        <m:t xml:space="preserve">ca</m:t>
                      </m:r>
                    </m:sub>
                  </m:sSub>
                </m:num>
                <m:den>
                  <m:rad>
                    <m:radPr>
                      <m:degHide m:val="on"/>
                    </m:radPr>
                    <m:deg/>
                    <m:e>
                      <m:sSub>
                        <m:sSubPr>
                          <m:ctrlPr/>
                        </m:sSubPr>
                        <m:e>
                          <m:r>
                            <m:rPr>
                              <m:nor/>
                            </m:rPr>
                            <m:t xml:space="preserve">S</m:t>
                          </m:r>
                        </m:e>
                        <m:sub>
                          <m:r>
                            <m:t xml:space="preserve">cc</m:t>
                          </m:r>
                        </m:sub>
                      </m:sSub>
                      <m:sSub>
                        <m:sSubPr>
                          <m:ctrlPr/>
                        </m:sSubPr>
                        <m:e>
                          <m:r>
                            <m:rPr>
                              <m:nor/>
                            </m:rPr>
                            <m:t xml:space="preserve">S</m:t>
                          </m:r>
                        </m:e>
                        <m:sub>
                          <m:r>
                            <m:t xml:space="preserve">aa</m:t>
                          </m:r>
                        </m:sub>
                      </m:sSub>
                    </m:e>
                  </m:rad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47.7625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34787.5×0.217287</m:t>
                      </m:r>
                    </m:e>
                  </m:rad>
                </m:den>
              </m:f>
              <m:r>
                <m:t xml:space="preserve">=0.549361…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1st B1</w:t>
      </w:r>
      <w:r>
        <w:rPr>
          <w:sz w:val="20"/>
        </w:rPr>
        <w:t xml:space="preserve"> awrt 0.549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  <m:r>
                <m:t xml:space="preserve">:ρ=0,</m:t>
              </m:r>
              <m:r>
                <m:rPr>
                  <m:nor/>
                </m:rPr>
                <m:t xml:space="preserve"/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:ρ&gt;0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(0.549 &lt;)0.6215 (Not significant Insufficient evidence to reject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</m:oMath>
            <w:r>
              <w:t xml:space="preserve">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Insufficient evidence of a positive correlation between the </w:t>
            </w:r>
            <w:r>
              <w:rPr>
                <w:b/>
              </w:rPr>
              <w:t xml:space="preserve">concentration of a</w:t>
            </w:r>
            <w:r>
              <w:t xml:space="preserve"> radioactive </w:t>
            </w:r>
            <w:r>
              <w:rPr>
                <w:b/>
              </w:rPr>
              <w:t xml:space="preserve">element</w:t>
            </w:r>
            <w:r>
              <w:t xml:space="preserve"> and the </w:t>
            </w:r>
            <w:r>
              <w:rPr>
                <w:b/>
              </w:rPr>
              <w:t xml:space="preserve">amount of dissolved solids</w:t>
            </w:r>
            <w:r>
              <w:t xml:space="preserve"> in groundwater.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1st B1</w:t>
      </w:r>
      <w:r>
        <w:rPr>
          <w:sz w:val="20"/>
        </w:rPr>
        <w:t xml:space="preserve"> Both correct. Require population parameter </w:t>
      </w:r>
      <m:oMath>
        <m:r>
          <m:t xml:space="preserve">ρ</m:t>
        </m:r>
      </m:oMath>
      <w:r>
        <w:rPr>
          <w:sz w:val="20"/>
        </w:rPr>
        <w:t xml:space="preserve"> and one tailed test.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2nd B1</w:t>
      </w:r>
      <w:r>
        <w:rPr>
          <w:sz w:val="20"/>
        </w:rPr>
        <w:t xml:space="preserve"> cv 0.6215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3rd B1</w:t>
      </w:r>
      <w:r>
        <w:rPr>
          <w:sz w:val="20"/>
        </w:rPr>
        <w:t xml:space="preserve"> Context required. Must mention </w:t>
      </w:r>
      <w:r>
        <w:rPr>
          <w:b/>
          <w:sz w:val="20"/>
        </w:rPr>
        <w:t xml:space="preserve">concentration of a</w:t>
      </w:r>
      <w:r>
        <w:rPr>
          <w:sz w:val="20"/>
        </w:rPr>
        <w:t xml:space="preserve"> radioactive </w:t>
      </w:r>
      <w:r>
        <w:rPr>
          <w:b/>
          <w:sz w:val="20"/>
        </w:rPr>
        <w:t xml:space="preserve">element</w:t>
      </w:r>
      <w:r>
        <w:rPr>
          <w:sz w:val="20"/>
        </w:rPr>
        <w:t xml:space="preserve"> and </w:t>
      </w:r>
      <w:r>
        <w:rPr>
          <w:b/>
          <w:sz w:val="20"/>
        </w:rPr>
        <w:t xml:space="preserve">amount of dissolved solids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tbl>
            <w:tblPr>
              <w:tblW w:w="4943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494"/>
              <w:gridCol w:w="494"/>
              <w:gridCol w:w="494"/>
              <w:gridCol w:w="494"/>
              <w:gridCol w:w="494"/>
              <w:gridCol w:w="494"/>
              <w:gridCol w:w="494"/>
              <w:gridCol w:w="494"/>
              <w:gridCol w:w="494"/>
              <w:gridCol w:w="494"/>
            </w:tblGrid>
            <w:tr>
              <w:trPr>
                <w:cantSplit/>
              </w:trPr>
              <w:tc>
                <w:tcPr>
                  <w:tcW w:w="494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Sample</w:t>
                  </w:r>
                </w:p>
              </w:tc>
              <w:tc>
                <w:tcPr>
                  <w:tcW w:w="494" w:type="dxa"/>
                  <w:shd w:val="clear" w:color="auto" w:fill="F1F5F9"/>
                </w:tcPr>
                <w:p>
                  <w:pPr>
                    <w:tabs>
                      <w:tab w:val="right" w:pos="294"/>
                    </w:tabs>
                    <w:spacing w:before="0" w:after="40"/>
                  </w:pPr>
                  <m:oMath>
                    <m:r>
                      <m:t xml:space="preserve">A</m:t>
                    </m:r>
                  </m:oMath>
                </w:p>
              </w:tc>
              <w:tc>
                <w:tcPr>
                  <w:tcW w:w="494" w:type="dxa"/>
                  <w:shd w:val="clear" w:color="auto" w:fill="F1F5F9"/>
                </w:tcPr>
                <w:p>
                  <w:pPr>
                    <w:tabs>
                      <w:tab w:val="right" w:pos="294"/>
                    </w:tabs>
                    <w:spacing w:before="0" w:after="40"/>
                  </w:pPr>
                  <m:oMath>
                    <m:r>
                      <m:t xml:space="preserve">B</m:t>
                    </m:r>
                  </m:oMath>
                </w:p>
              </w:tc>
              <w:tc>
                <w:tcPr>
                  <w:tcW w:w="494" w:type="dxa"/>
                  <w:shd w:val="clear" w:color="auto" w:fill="F1F5F9"/>
                </w:tcPr>
                <w:p>
                  <w:pPr>
                    <w:tabs>
                      <w:tab w:val="right" w:pos="294"/>
                    </w:tabs>
                    <w:spacing w:before="0" w:after="40"/>
                  </w:pPr>
                  <m:oMath>
                    <m:r>
                      <m:t xml:space="preserve">C</m:t>
                    </m:r>
                  </m:oMath>
                </w:p>
              </w:tc>
              <w:tc>
                <w:tcPr>
                  <w:tcW w:w="494" w:type="dxa"/>
                  <w:shd w:val="clear" w:color="auto" w:fill="F1F5F9"/>
                </w:tcPr>
                <w:p>
                  <w:pPr>
                    <w:tabs>
                      <w:tab w:val="right" w:pos="294"/>
                    </w:tabs>
                    <w:spacing w:before="0" w:after="40"/>
                  </w:pPr>
                  <m:oMath>
                    <m:r>
                      <m:t xml:space="preserve">D</m:t>
                    </m:r>
                  </m:oMath>
                </w:p>
              </w:tc>
              <w:tc>
                <w:tcPr>
                  <w:tcW w:w="494" w:type="dxa"/>
                  <w:shd w:val="clear" w:color="auto" w:fill="F1F5F9"/>
                </w:tcPr>
                <w:p>
                  <w:pPr>
                    <w:tabs>
                      <w:tab w:val="right" w:pos="294"/>
                    </w:tabs>
                    <w:spacing w:before="0" w:after="40"/>
                  </w:pPr>
                  <m:oMath>
                    <m:r>
                      <m:t xml:space="preserve">E</m:t>
                    </m:r>
                  </m:oMath>
                </w:p>
              </w:tc>
              <w:tc>
                <w:tcPr>
                  <w:tcW w:w="494" w:type="dxa"/>
                  <w:shd w:val="clear" w:color="auto" w:fill="F1F5F9"/>
                </w:tcPr>
                <w:p>
                  <w:pPr>
                    <w:tabs>
                      <w:tab w:val="right" w:pos="294"/>
                    </w:tabs>
                    <w:spacing w:before="0" w:after="40"/>
                  </w:pPr>
                  <m:oMath>
                    <m:r>
                      <m:t xml:space="preserve">F</m:t>
                    </m:r>
                  </m:oMath>
                </w:p>
              </w:tc>
              <w:tc>
                <w:tcPr>
                  <w:tcW w:w="494" w:type="dxa"/>
                  <w:shd w:val="clear" w:color="auto" w:fill="F1F5F9"/>
                </w:tcPr>
                <w:p>
                  <w:pPr>
                    <w:tabs>
                      <w:tab w:val="right" w:pos="294"/>
                    </w:tabs>
                    <w:spacing w:before="0" w:after="40"/>
                  </w:pPr>
                  <m:oMath>
                    <m:r>
                      <m:t xml:space="preserve">G</m:t>
                    </m:r>
                  </m:oMath>
                </w:p>
              </w:tc>
              <w:tc>
                <w:tcPr>
                  <w:tcW w:w="494" w:type="dxa"/>
                  <w:shd w:val="clear" w:color="auto" w:fill="F1F5F9"/>
                </w:tcPr>
                <w:p>
                  <w:pPr>
                    <w:tabs>
                      <w:tab w:val="right" w:pos="294"/>
                    </w:tabs>
                    <w:spacing w:before="0" w:after="40"/>
                  </w:pPr>
                  <m:oMath>
                    <m:r>
                      <m:t xml:space="preserve">H</m:t>
                    </m:r>
                  </m:oMath>
                </w:p>
              </w:tc>
              <w:tc>
                <w:tcPr>
                  <w:tcW w:w="494" w:type="dxa"/>
                  <w:shd w:val="clear" w:color="auto" w:fill="F1F5F9"/>
                </w:tcPr>
                <w:p/>
              </w:tc>
            </w:tr>
            <w:tr>
              <w:trPr>
                <w:cantSplit/>
              </w:trPr>
              <w:tc>
                <w:tcPr>
                  <w:tcW w:w="494" w:type="dxa"/>
                </w:tcPr>
                <w:p>
                  <w:pPr>
                    <w:tabs>
                      <w:tab w:val="right" w:pos="294"/>
                    </w:tabs>
                    <w:spacing w:before="0" w:after="40"/>
                  </w:pPr>
                  <m:oMath>
                    <m:r>
                      <m:t xml:space="preserve">c</m:t>
                    </m:r>
                  </m:oMath>
                </w:p>
              </w:tc>
              <w:tc>
                <w:tcPr>
                  <w:tcW w:w="4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4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6</w:t>
                  </w:r>
                </w:p>
              </w:tc>
              <w:tc>
                <w:tcPr>
                  <w:tcW w:w="4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  <w:tc>
                <w:tcPr>
                  <w:tcW w:w="4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  <w:tc>
                <w:tcPr>
                  <w:tcW w:w="4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7</w:t>
                  </w:r>
                </w:p>
              </w:tc>
              <w:tc>
                <w:tcPr>
                  <w:tcW w:w="4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4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8</w:t>
                  </w:r>
                </w:p>
              </w:tc>
              <w:tc>
                <w:tcPr>
                  <w:tcW w:w="4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</w:t>
                  </w:r>
                </w:p>
              </w:tc>
              <w:tc>
                <w:tcPr>
                  <w:tcW w:w="494" w:type="dxa"/>
                </w:tcPr>
                <w:p/>
              </w:tc>
            </w:tr>
            <w:tr>
              <w:trPr>
                <w:cantSplit/>
              </w:trPr>
              <w:tc>
                <w:tcPr>
                  <w:tcW w:w="494" w:type="dxa"/>
                </w:tcPr>
                <w:p>
                  <w:pPr>
                    <w:tabs>
                      <w:tab w:val="right" w:pos="294"/>
                    </w:tabs>
                    <w:spacing w:before="0" w:after="40"/>
                  </w:pPr>
                  <m:oMath>
                    <m:r>
                      <m:t xml:space="preserve">a</m:t>
                    </m:r>
                  </m:oMath>
                </w:p>
              </w:tc>
              <w:tc>
                <w:tcPr>
                  <w:tcW w:w="4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  <w:tc>
                <w:tcPr>
                  <w:tcW w:w="4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</w:t>
                  </w:r>
                </w:p>
              </w:tc>
              <w:tc>
                <w:tcPr>
                  <w:tcW w:w="4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4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  <w:tc>
                <w:tcPr>
                  <w:tcW w:w="4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8</w:t>
                  </w:r>
                </w:p>
              </w:tc>
              <w:tc>
                <w:tcPr>
                  <w:tcW w:w="4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4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6</w:t>
                  </w:r>
                </w:p>
              </w:tc>
              <w:tc>
                <w:tcPr>
                  <w:tcW w:w="4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7</w:t>
                  </w:r>
                </w:p>
              </w:tc>
              <w:tc>
                <w:tcPr>
                  <w:tcW w:w="494" w:type="dxa"/>
                </w:tcPr>
                <w:p/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tbl>
            <w:tblPr>
              <w:tblW w:w="4943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494"/>
              <w:gridCol w:w="494"/>
              <w:gridCol w:w="494"/>
              <w:gridCol w:w="494"/>
              <w:gridCol w:w="494"/>
              <w:gridCol w:w="494"/>
              <w:gridCol w:w="494"/>
              <w:gridCol w:w="494"/>
              <w:gridCol w:w="494"/>
              <w:gridCol w:w="494"/>
            </w:tblGrid>
            <w:tr>
              <w:trPr>
                <w:cantSplit/>
              </w:trPr>
              <w:tc>
                <w:tcPr>
                  <w:tcW w:w="494" w:type="dxa"/>
                </w:tcPr>
                <w:p>
                  <w:pPr>
                    <w:tabs>
                      <w:tab w:val="right" w:pos="294"/>
                    </w:tabs>
                    <w:spacing w:before="0" w:after="40"/>
                  </w:pPr>
                  <m:oMath>
                    <m:r>
                      <m:t xml:space="preserve">d</m:t>
                    </m:r>
                  </m:oMath>
                </w:p>
              </w:tc>
              <w:tc>
                <w:tcPr>
                  <w:tcW w:w="4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-2</w:t>
                  </w:r>
                </w:p>
              </w:tc>
              <w:tc>
                <w:tcPr>
                  <w:tcW w:w="4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4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  <w:tc>
                <w:tcPr>
                  <w:tcW w:w="4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4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-1</w:t>
                  </w:r>
                </w:p>
              </w:tc>
              <w:tc>
                <w:tcPr>
                  <w:tcW w:w="4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-1</w:t>
                  </w:r>
                </w:p>
              </w:tc>
              <w:tc>
                <w:tcPr>
                  <w:tcW w:w="4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4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-2</w:t>
                  </w:r>
                </w:p>
              </w:tc>
              <w:tc>
                <w:tcPr>
                  <w:tcW w:w="494" w:type="dxa"/>
                </w:tcPr>
                <w:p/>
              </w:tc>
            </w:tr>
            <w:tr>
              <w:trPr>
                <w:cantSplit/>
              </w:trPr>
              <w:tc>
                <w:tcPr>
                  <w:tcW w:w="494" w:type="dxa"/>
                </w:tcPr>
                <w:p>
                  <w:pPr>
                    <w:tabs>
                      <w:tab w:val="right" w:pos="294"/>
                    </w:tabs>
                    <w:spacing w:before="0" w:after="40"/>
                  </w:pPr>
                  <m:oMath>
                    <m:sSup>
                      <m:sSupPr>
                        <m:ctrlPr/>
                      </m:sSupPr>
                      <m:e>
                        <m:r>
                          <m:t xml:space="preserve">d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</m:oMath>
                </w:p>
              </w:tc>
              <w:tc>
                <w:tcPr>
                  <w:tcW w:w="4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  <w:tc>
                <w:tcPr>
                  <w:tcW w:w="4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4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9</w:t>
                  </w:r>
                </w:p>
              </w:tc>
              <w:tc>
                <w:tcPr>
                  <w:tcW w:w="4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4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4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4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  <w:tc>
                <w:tcPr>
                  <w:tcW w:w="4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  <w:tc>
                <w:tcPr>
                  <w:tcW w:w="4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24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Note Reverse ranks </w:t>
            </w:r>
            <m:oMath>
              <m:r>
                <m:t xml:space="preserve">∑</m:t>
              </m:r>
              <m:sSup>
                <m:sSupPr>
                  <m:ctrlPr/>
                </m:sSupPr>
                <m:e>
                  <m:r>
                    <m:t xml:space="preserve">d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=144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r</m:t>
                  </m:r>
                </m:e>
                <m:sub>
                  <m:r>
                    <m:t xml:space="preserve">s</m:t>
                  </m:r>
                </m:sub>
              </m:sSub>
              <m:r>
                <m:t xml:space="preserve">=1−</m:t>
              </m:r>
              <m:f>
                <m:fPr>
                  <m:type m:val="bar"/>
                </m:fPr>
                <m:num>
                  <m:r>
                    <m:t xml:space="preserve">6∑</m:t>
                  </m:r>
                  <m:sSup>
                    <m:sSupPr>
                      <m:ctrlPr/>
                    </m:sSupPr>
                    <m:e>
                      <m:r>
                        <m:t xml:space="preserve">d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n(</m:t>
                  </m:r>
                  <m:sSup>
                    <m:sSupPr>
                      <m:ctrlPr/>
                    </m:sSupPr>
                    <m:e>
                      <m:r>
                        <m:t xml:space="preserve">n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−1)</m:t>
                  </m:r>
                </m:den>
              </m:f>
              <m:r>
                <m:t xml:space="preserve">=1−</m:t>
              </m:r>
              <m:f>
                <m:fPr>
                  <m:type m:val="bar"/>
                </m:fPr>
                <m:num>
                  <m:r>
                    <m:t xml:space="preserve">6×24</m:t>
                  </m:r>
                </m:num>
                <m:den>
                  <m:r>
                    <m:t xml:space="preserve">8(64−1)</m:t>
                  </m:r>
                </m:den>
              </m:f>
              <m:r>
                <m:t xml:space="preserve">=0.71428…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1st M1</w:t>
      </w:r>
      <w:r>
        <w:rPr>
          <w:sz w:val="20"/>
        </w:rPr>
        <w:t xml:space="preserve"> for an attempt to rank the concentration of a radioactive element </w:t>
      </w:r>
      <w:r>
        <w:rPr>
          <w:b/>
          <w:sz w:val="20"/>
        </w:rPr>
        <w:t xml:space="preserve">and</w:t>
      </w:r>
      <w:r>
        <w:rPr>
          <w:sz w:val="20"/>
        </w:rPr>
        <w:t xml:space="preserve"> the amount of dissolved solids with at least 4 correct for each variable. Allow reverse ranks.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2nd M1</w:t>
      </w:r>
      <w:r>
        <w:rPr>
          <w:sz w:val="20"/>
        </w:rPr>
        <w:t xml:space="preserve"> for attempt at </w:t>
      </w:r>
      <m:oMath>
        <m:sSup>
          <m:sSupPr>
            <m:ctrlPr/>
          </m:sSupPr>
          <m:e>
            <m:r>
              <m:t xml:space="preserve">d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row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1st A1</w:t>
      </w:r>
      <w:r>
        <w:rPr>
          <w:sz w:val="20"/>
        </w:rPr>
        <w:t xml:space="preserve"> all correct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3rd M1</w:t>
      </w:r>
      <w:r>
        <w:rPr>
          <w:sz w:val="20"/>
        </w:rPr>
        <w:t xml:space="preserve"> for use of the correct formula and an attempt to rank, follow through their </w:t>
      </w:r>
      <m:oMath>
        <m:r>
          <m:t xml:space="preserve">∑</m:t>
        </m:r>
        <m:sSup>
          <m:sSupPr>
            <m:ctrlPr/>
          </m:sSupPr>
          <m:e>
            <m:r>
              <m:t xml:space="preserve">d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if clearly stated</w:t>
      </w:r>
      <w:r>
        <w:br/>
      </w:r>
      <w:r>
        <w:rPr>
          <w:sz w:val="20"/>
        </w:rPr>
        <w:t xml:space="preserve">If answer is not correct, a correct expression is required.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awrt 0.714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  <m:r>
                <m:t xml:space="preserve">:</m:t>
              </m:r>
              <m:sSub>
                <m:sSubPr>
                  <m:ctrlPr/>
                </m:sSubPr>
                <m:e>
                  <m:r>
                    <m:t xml:space="preserve">ρ</m:t>
                  </m:r>
                </m:e>
                <m:sub>
                  <m:r>
                    <m:t xml:space="preserve">s</m:t>
                  </m:r>
                </m:sub>
              </m:sSub>
              <m:r>
                <m:t xml:space="preserve">=0,</m:t>
              </m:r>
              <m:r>
                <m:rPr>
                  <m:nor/>
                </m:rPr>
                <m:t xml:space="preserve"/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:</m:t>
              </m:r>
              <m:sSub>
                <m:sSubPr>
                  <m:ctrlPr/>
                </m:sSubPr>
                <m:e>
                  <m:r>
                    <m:t xml:space="preserve">ρ</m:t>
                  </m:r>
                </m:e>
                <m:sub>
                  <m:r>
                    <m:t xml:space="preserve">s</m:t>
                  </m:r>
                </m:sub>
              </m:sSub>
              <m:r>
                <m:t xml:space="preserve">&gt;0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(0.714 &gt;)0.6429 (Significant. Reject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</m:oMath>
            <w:r>
              <w:t xml:space="preserve">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Evidence of a positive correlation between the </w:t>
            </w:r>
            <w:r>
              <w:rPr>
                <w:b/>
              </w:rPr>
              <w:t xml:space="preserve">concentration of a</w:t>
            </w:r>
            <w:r>
              <w:t xml:space="preserve"> radioactive </w:t>
            </w:r>
            <w:r>
              <w:rPr>
                <w:b/>
              </w:rPr>
              <w:t xml:space="preserve">element</w:t>
            </w:r>
            <w:r>
              <w:t xml:space="preserve"> and the </w:t>
            </w:r>
            <w:r>
              <w:rPr>
                <w:b/>
              </w:rPr>
              <w:t xml:space="preserve">amount of dissolved solids</w:t>
            </w:r>
            <w:r>
              <w:t xml:space="preserve"> in groundwater.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1st B1</w:t>
      </w:r>
      <w:r>
        <w:rPr>
          <w:sz w:val="20"/>
        </w:rPr>
        <w:t xml:space="preserve"> for both hypotheses in terms of </w:t>
      </w:r>
      <m:oMath>
        <m:r>
          <m:t xml:space="preserve">ρ</m:t>
        </m:r>
      </m:oMath>
      <w:r>
        <w:rPr>
          <w:sz w:val="20"/>
        </w:rPr>
        <w:t xml:space="preserve">, one tail </w:t>
      </w:r>
      <m:oMath>
        <m:sSub>
          <m:sSubPr>
            <m:ctrlPr/>
          </m:sSubPr>
          <m:e>
            <m:r>
              <m:rPr>
                <m:nor/>
              </m:rPr>
              <m:t xml:space="preserve">H</m:t>
            </m:r>
          </m:e>
          <m:sub>
            <m:r>
              <m:t xml:space="preserve">1</m:t>
            </m:r>
          </m:sub>
        </m:sSub>
      </m:oMath>
      <w:r>
        <w:rPr>
          <w:sz w:val="20"/>
        </w:rPr>
        <w:t xml:space="preserve">. Allow use of </w:t>
      </w:r>
      <m:oMath>
        <m:sSub>
          <m:sSubPr>
            <m:ctrlPr/>
          </m:sSubPr>
          <m:e>
            <m:r>
              <m:t xml:space="preserve">ρ</m:t>
            </m:r>
          </m:e>
          <m:sub>
            <m:r>
              <m:t xml:space="preserve">s</m:t>
            </m:r>
          </m:sub>
        </m:sSub>
      </m:oMath>
      <w:r>
        <w:rPr>
          <w:sz w:val="20"/>
        </w:rPr>
        <w:t xml:space="preserve">.</w:t>
      </w:r>
      <w:r>
        <w:br/>
      </w:r>
      <w:r>
        <w:rPr>
          <w:sz w:val="20"/>
        </w:rPr>
        <w:t xml:space="preserve">Alternative hypothesis compatible with their ranking.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2nd B1</w:t>
      </w:r>
      <w:r>
        <w:rPr>
          <w:sz w:val="20"/>
        </w:rPr>
        <w:t xml:space="preserve"> for cv of 0.6429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3rd B1ft</w:t>
      </w:r>
      <w:r>
        <w:rPr>
          <w:sz w:val="20"/>
        </w:rPr>
        <w:t xml:space="preserve"> for a correct contextualised comment. Must mention </w:t>
      </w:r>
      <w:r>
        <w:rPr>
          <w:b/>
          <w:sz w:val="20"/>
        </w:rPr>
        <w:t xml:space="preserve">concentration of a</w:t>
      </w:r>
      <w:r>
        <w:rPr>
          <w:sz w:val="20"/>
        </w:rPr>
        <w:t xml:space="preserve"> radioactive </w:t>
      </w:r>
      <w:r>
        <w:rPr>
          <w:b/>
          <w:sz w:val="20"/>
        </w:rPr>
        <w:t xml:space="preserve">element</w:t>
      </w:r>
      <w:r>
        <w:rPr>
          <w:sz w:val="20"/>
        </w:rPr>
        <w:t xml:space="preserve"> and the </w:t>
      </w:r>
      <w:r>
        <w:rPr>
          <w:b/>
          <w:sz w:val="20"/>
        </w:rPr>
        <w:t xml:space="preserve">amount of dissolved solids.</w:t>
      </w:r>
      <w:r>
        <w:rPr>
          <w:sz w:val="20"/>
        </w:rPr>
        <w:t xml:space="preserve"> Follow through their </w:t>
      </w:r>
      <m:oMath>
        <m:sSub>
          <m:sSubPr>
            <m:ctrlPr/>
          </m:sSubPr>
          <m:e>
            <m:r>
              <m:t xml:space="preserve">r</m:t>
            </m:r>
          </m:e>
          <m:sub>
            <m:r>
              <m:t xml:space="preserve">s</m:t>
            </m:r>
          </m:sub>
        </m:sSub>
      </m:oMath>
      <w:r>
        <w:rPr>
          <w:sz w:val="20"/>
        </w:rPr>
        <w:t xml:space="preserve"> and their cv (provided it is |cv| &lt;1)</w:t>
      </w:r>
      <w:r>
        <w:br/>
      </w:r>
      <w:r>
        <w:rPr>
          <w:sz w:val="20"/>
        </w:rPr>
        <w:t xml:space="preserve">Don’t insist on the word “positive” for a one-tailed test.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(e)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Results of tests suggest (monotonic) </w:t>
            </w:r>
            <w:r>
              <w:rPr>
                <w:b/>
              </w:rPr>
              <w:t xml:space="preserve">non-linear</w:t>
            </w:r>
            <w:r>
              <w:t xml:space="preserve"> relationship or assumptions for PMCC breached i.e. </w:t>
            </w:r>
            <w:r>
              <w:rPr>
                <w:b/>
              </w:rPr>
              <w:t xml:space="preserve">not</w:t>
            </w:r>
            <w:r>
              <w:t xml:space="preserve"> (joint) </w:t>
            </w:r>
            <w:r>
              <w:rPr>
                <w:b/>
              </w:rPr>
              <w:t xml:space="preserve">normal</w:t>
            </w:r>
            <w:r>
              <w:t xml:space="preserve">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(13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for ‘</w:t>
      </w:r>
      <w:r>
        <w:rPr>
          <w:b/>
          <w:sz w:val="20"/>
        </w:rPr>
        <w:t xml:space="preserve">non-linear’ oe, or ‘not normal’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