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u w:val="single"/>
        </w:rPr>
        <w:t>3C Non-Uniform Bodies</w:t>
      </w:r>
    </w:p>
    <w:p>
      <w:pPr>
        <w:keepNext w:val="0"/>
        <w:jc w:val="both"/>
      </w:pPr>
      <w:r>
        <w:t>Composite bodies made from materials of different densities:</w:t>
      </w:r>
    </w:p>
    <w:p>
      <w:pPr>
        <w:jc w:val="both"/>
      </w:pPr>
    </w:p>
    <w:p>
      <w:pPr>
        <w:jc w:val="both"/>
      </w:pPr>
    </w:p>
    <w:p>
      <w:pPr>
        <w:jc w:val="both"/>
      </w:pPr>
    </w:p>
    <w:p>
      <w:pPr>
        <w:keepNext/>
        <w:ind w:left="357" w:hanging="357"/>
        <w:jc w:val="both"/>
      </w:pPr>
      <w:r>
        <w:t>1.</w:t>
        <w:tab/>
        <w:t>A uniform solid right circular cone of height 2R and base radius R is joined at its base to the base of a uniform solid hemisphere. The centres of their bases coincide at O and their axes are collinear. The radius of the hemisphere is 2R. Find the position of the centre of mass of the composite body if the cone has four times the density of the hemisphere.</w:t>
      </w:r>
    </w:p>
    <w:p>
      <w:pPr>
        <w:keepNext/>
        <w:jc w:val="center"/>
      </w:pPr>
      <w:r>
        <w:drawing>
          <wp:inline xmlns:a="http://schemas.openxmlformats.org/drawingml/2006/main" xmlns:pic="http://schemas.openxmlformats.org/drawingml/2006/picture">
            <wp:extent cx="1800000" cy="1618286"/>
            <wp:docPr id="1" name="Picture 1"/>
            <wp:cNvGraphicFramePr>
              <a:graphicFrameLocks noChangeAspect="1"/>
            </wp:cNvGraphicFramePr>
            <a:graphic>
              <a:graphicData uri="http://schemas.openxmlformats.org/drawingml/2006/picture">
                <pic:pic>
                  <pic:nvPicPr>
                    <pic:cNvPr id="0" name="ex13.png"/>
                    <pic:cNvPicPr/>
                  </pic:nvPicPr>
                  <pic:blipFill>
                    <a:blip r:embed="rId9"/>
                    <a:stretch>
                      <a:fillRect/>
                    </a:stretch>
                  </pic:blipFill>
                  <pic:spPr>
                    <a:xfrm>
                      <a:off x="0" y="0"/>
                      <a:ext cx="1800000" cy="1618286"/>
                    </a:xfrm>
                    <a:prstGeom prst="rect"/>
                  </pic:spPr>
                </pic:pic>
              </a:graphicData>
            </a:graphic>
          </wp:inline>
        </w:drawing>
      </w:r>
    </w:p>
    <w:tbl>
      <w:tblPr>
        <w:tblStyle w:val="TableGrid"/>
        <w:tblW w:type="auto" w:w="0"/>
        <w:jc w:val="center"/>
        <w:tblLayout w:type="fixed"/>
        <w:tblLook w:firstColumn="1" w:firstRow="1" w:lastColumn="0" w:lastRow="0" w:noHBand="0" w:noVBand="1" w:val="04A0"/>
      </w:tblPr>
      <w:tblGrid>
        <w:gridCol w:w="2097"/>
        <w:gridCol w:w="2097"/>
        <w:gridCol w:w="2097"/>
        <w:gridCol w:w="2097"/>
      </w:tblGrid>
      <w:tr>
        <w:trPr>
          <w:trHeight w:val="369"/>
          <w:cantSplit/>
        </w:trPr>
        <w:tc>
          <w:tcPr>
            <w:tcW w:type="dxa" w:w="2098"/>
          </w:tcPr>
          <w:p>
            <w:pPr>
              <w:keepNext/>
              <w:jc w:val="center"/>
            </w:pPr>
            <w:r>
              <w:rPr>
                <w:b/>
                <w:sz w:val="22"/>
              </w:rPr>
            </w:r>
          </w:p>
        </w:tc>
        <w:tc>
          <w:tcPr>
            <w:tcW w:type="dxa" w:w="2098"/>
          </w:tcPr>
          <w:p>
            <w:pPr>
              <w:keepNext/>
              <w:jc w:val="center"/>
            </w:pPr>
            <w:r>
              <w:rPr>
                <w:b/>
                <w:sz w:val="22"/>
              </w:rPr>
              <w:t>Mass</w:t>
            </w:r>
          </w:p>
        </w:tc>
        <w:tc>
          <w:tcPr>
            <w:tcW w:type="dxa" w:w="2098"/>
          </w:tcPr>
          <w:p>
            <w:pPr>
              <w:keepNext/>
              <w:jc w:val="center"/>
            </w:pPr>
            <w:r>
              <w:rPr>
                <w:b/>
                <w:sz w:val="22"/>
              </w:rPr>
              <w:t>Ratio of masses</w:t>
            </w:r>
          </w:p>
        </w:tc>
        <w:tc>
          <w:tcPr>
            <w:tcW w:type="dxa" w:w="2098"/>
          </w:tcPr>
          <w:p>
            <w:pPr>
              <w:keepNext/>
              <w:jc w:val="center"/>
            </w:pPr>
            <w:r>
              <w:rPr>
                <w:b/>
                <w:sz w:val="22"/>
              </w:rPr>
              <w:t>Distance from O to centre of mass</w:t>
            </w:r>
          </w:p>
        </w:tc>
      </w:tr>
      <w:tr>
        <w:trPr>
          <w:trHeight w:val="369"/>
          <w:cantSplit/>
        </w:trPr>
        <w:tc>
          <w:tcPr>
            <w:tcW w:type="dxa" w:w="2098"/>
          </w:tcPr>
          <w:p>
            <w:pPr>
              <w:keepNext/>
              <w:jc w:val="center"/>
            </w:pPr>
            <w:r>
              <w:rPr>
                <w:b/>
                <w:sz w:val="22"/>
              </w:rPr>
              <w:t>Cone</w:t>
            </w:r>
          </w:p>
        </w:tc>
        <w:tc>
          <w:tcPr>
            <w:tcW w:type="dxa" w:w="2098"/>
          </w:tcPr>
          <w:p>
            <w:pPr>
              <w:keepNext/>
              <w:jc w:val="center"/>
            </w:pPr>
            <w:r>
              <w:rPr>
                <w:sz w:val="22"/>
              </w:rPr>
            </w:r>
          </w:p>
        </w:tc>
        <w:tc>
          <w:tcPr>
            <w:tcW w:type="dxa" w:w="2098"/>
          </w:tcPr>
          <w:p>
            <w:pPr>
              <w:keepNext/>
              <w:jc w:val="center"/>
            </w:pPr>
            <w:r>
              <w:rPr>
                <w:sz w:val="22"/>
              </w:rPr>
            </w:r>
          </w:p>
        </w:tc>
        <w:tc>
          <w:tcPr>
            <w:tcW w:type="dxa" w:w="2098"/>
          </w:tcPr>
          <w:p>
            <w:pPr>
              <w:keepNext/>
              <w:jc w:val="center"/>
            </w:pPr>
            <w:r>
              <w:rPr>
                <w:sz w:val="22"/>
              </w:rPr>
            </w:r>
          </w:p>
        </w:tc>
      </w:tr>
      <w:tr>
        <w:trPr>
          <w:trHeight w:val="369"/>
          <w:cantSplit/>
        </w:trPr>
        <w:tc>
          <w:tcPr>
            <w:tcW w:type="dxa" w:w="2098"/>
          </w:tcPr>
          <w:p>
            <w:pPr>
              <w:keepNext/>
              <w:jc w:val="center"/>
            </w:pPr>
            <w:r>
              <w:rPr>
                <w:b/>
                <w:sz w:val="22"/>
              </w:rPr>
              <w:t>Hemisphere</w:t>
            </w:r>
          </w:p>
        </w:tc>
        <w:tc>
          <w:tcPr>
            <w:tcW w:type="dxa" w:w="2098"/>
          </w:tcPr>
          <w:p>
            <w:pPr>
              <w:keepNext/>
              <w:jc w:val="center"/>
            </w:pPr>
            <w:r>
              <w:rPr>
                <w:sz w:val="22"/>
              </w:rPr>
            </w:r>
          </w:p>
        </w:tc>
        <w:tc>
          <w:tcPr>
            <w:tcW w:type="dxa" w:w="2098"/>
          </w:tcPr>
          <w:p>
            <w:pPr>
              <w:keepNext/>
              <w:jc w:val="center"/>
            </w:pPr>
            <w:r>
              <w:rPr>
                <w:sz w:val="22"/>
              </w:rPr>
            </w:r>
          </w:p>
        </w:tc>
        <w:tc>
          <w:tcPr>
            <w:tcW w:type="dxa" w:w="2098"/>
          </w:tcPr>
          <w:p>
            <w:pPr>
              <w:keepNext/>
              <w:jc w:val="center"/>
            </w:pPr>
            <w:r>
              <w:rPr>
                <w:sz w:val="22"/>
              </w:rPr>
            </w:r>
          </w:p>
        </w:tc>
      </w:tr>
      <w:tr>
        <w:trPr>
          <w:trHeight w:val="369"/>
          <w:cantSplit/>
        </w:trPr>
        <w:tc>
          <w:tcPr>
            <w:tcW w:type="dxa" w:w="2098"/>
          </w:tcPr>
          <w:p>
            <w:pPr>
              <w:jc w:val="center"/>
            </w:pPr>
            <w:r>
              <w:rPr>
                <w:b/>
                <w:sz w:val="22"/>
              </w:rPr>
              <w:t>Composite body</w:t>
            </w:r>
          </w:p>
        </w:tc>
        <w:tc>
          <w:tcPr>
            <w:tcW w:type="dxa" w:w="2098"/>
          </w:tcPr>
          <w:p>
            <w:pPr>
              <w:jc w:val="center"/>
            </w:pPr>
            <w:r>
              <w:rPr>
                <w:sz w:val="22"/>
              </w:rPr>
            </w:r>
          </w:p>
        </w:tc>
        <w:tc>
          <w:tcPr>
            <w:tcW w:type="dxa" w:w="2098"/>
          </w:tcPr>
          <w:p>
            <w:pPr>
              <w:jc w:val="center"/>
            </w:pPr>
            <w:r>
              <w:rPr>
                <w:sz w:val="22"/>
              </w:rPr>
            </w:r>
          </w:p>
        </w:tc>
        <w:tc>
          <w:tcPr>
            <w:tcW w:type="dxa" w:w="2098"/>
          </w:tcPr>
          <w:p>
            <w:pPr>
              <w:jc w:val="center"/>
            </w:pPr>
            <w:r>
              <w:rPr>
                <w:sz w:val="22"/>
              </w:rPr>
            </w:r>
          </w:p>
        </w:tc>
      </w:tr>
    </w:tbl>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val="0"/>
        <w:jc w:val="both"/>
      </w:pPr>
      <w:r>
        <w:t>Non-uniform rod: the mass per unit length is ρ = f(x). The mass of a small section of length δx is:</w:t>
      </w:r>
    </w:p>
    <w:p>
      <w:pPr>
        <w:jc w:val="both"/>
      </w:pPr>
    </w:p>
    <w:p>
      <w:pPr>
        <w:jc w:val="both"/>
      </w:pPr>
    </w:p>
    <w:p>
      <w:pPr>
        <w:keepNext/>
        <w:jc w:val="both"/>
      </w:pPr>
      <w:r>
        <w:t>Distance of the centre of mass from the end of the rod (length l):</w:t>
      </w:r>
    </w:p>
    <w:p>
      <w:pPr>
        <w:keepNext/>
        <w:spacing w:after="60"/>
        <w:ind w:left="720"/>
        <w:jc w:val="left"/>
      </w:pPr>
      <w:r>
        <w:drawing>
          <wp:inline xmlns:a="http://schemas.openxmlformats.org/drawingml/2006/main" xmlns:pic="http://schemas.openxmlformats.org/drawingml/2006/picture">
            <wp:extent cx="326136" cy="234696"/>
            <wp:docPr id="2" name="Picture 2"/>
            <wp:cNvGraphicFramePr>
              <a:graphicFrameLocks noChangeAspect="1"/>
            </wp:cNvGraphicFramePr>
            <a:graphic>
              <a:graphicData uri="http://schemas.openxmlformats.org/drawingml/2006/picture">
                <pic:pic>
                  <pic:nvPicPr>
                    <pic:cNvPr id="0" name="8a24345c8bef.png"/>
                    <pic:cNvPicPr/>
                  </pic:nvPicPr>
                  <pic:blipFill>
                    <a:blip r:embed="rId10"/>
                    <a:stretch>
                      <a:fillRect/>
                    </a:stretch>
                  </pic:blipFill>
                  <pic:spPr>
                    <a:xfrm>
                      <a:off x="0" y="0"/>
                      <a:ext cx="326136" cy="234696"/>
                    </a:xfrm>
                    <a:prstGeom prst="rect"/>
                  </pic:spPr>
                </pic:pic>
              </a:graphicData>
            </a:graphic>
          </wp:inline>
        </w:drawing>
      </w:r>
    </w:p>
    <w:p>
      <w:pPr>
        <w:jc w:val="both"/>
      </w:pPr>
    </w:p>
    <w:p>
      <w:pPr>
        <w:jc w:val="both"/>
      </w:pPr>
    </w:p>
    <w:p>
      <w:pPr>
        <w:jc w:val="both"/>
      </w:pPr>
    </w:p>
    <w:p>
      <w:pPr>
        <w:keepNext/>
        <w:ind w:left="357" w:hanging="357"/>
        <w:jc w:val="both"/>
      </w:pPr>
      <w:r>
        <w:t>2.</w:t>
        <w:tab/>
        <w:t>A non-uniform telegraph pole is 10 m long. At any distance x metres from its base, the mass per unit length of the telegraph pole is given by m = 20 − ⅕x kg m⁻¹. By modelling the telegraph pole as a rod, find:</w:t>
      </w:r>
    </w:p>
    <w:p>
      <w:pPr>
        <w:keepNext w:val="0"/>
        <w:ind w:left="720" w:hanging="357"/>
        <w:jc w:val="both"/>
      </w:pPr>
      <w:r>
        <w:t>a)</w:t>
        <w:tab/>
        <w:t>the mass of the telegraph pole</w:t>
      </w:r>
    </w:p>
    <w:p>
      <w:pPr>
        <w:jc w:val="both"/>
      </w:pPr>
    </w:p>
    <w:p>
      <w:pPr>
        <w:jc w:val="both"/>
      </w:pPr>
    </w:p>
    <w:p>
      <w:pPr>
        <w:jc w:val="both"/>
      </w:pPr>
    </w:p>
    <w:p>
      <w:pPr>
        <w:jc w:val="both"/>
      </w:pPr>
    </w:p>
    <w:p>
      <w:pPr>
        <w:jc w:val="both"/>
      </w:pPr>
    </w:p>
    <w:p>
      <w:pPr>
        <w:jc w:val="both"/>
      </w:pPr>
    </w:p>
    <w:p>
      <w:pPr>
        <w:jc w:val="both"/>
      </w:pPr>
    </w:p>
    <w:p>
      <w:pPr>
        <w:jc w:val="both"/>
      </w:pPr>
    </w:p>
    <w:p>
      <w:pPr>
        <w:keepNext w:val="0"/>
        <w:ind w:left="720" w:hanging="357"/>
        <w:jc w:val="both"/>
      </w:pPr>
      <w:r>
        <w:t>b)</w:t>
        <w:tab/>
        <w:t>the distance of the centre of mass of the telegraph pole from its top.</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sectPr w:rsidR="00FC693F" w:rsidRPr="0006063C" w:rsidSect="000346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