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3E Maximum Flow–Minimum Cut Theorem</w:t>
      </w:r>
    </w:p>
    <w:p>
      <w:pPr>
        <w:keepNext w:val="0"/>
        <w:jc w:val="both"/>
      </w:pPr>
      <w:r>
        <w:t>The maximum flow–minimum cut theorem: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Proving a flow is maximal: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minimum cut passes through: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diagram shows a capacitated directed network and a flow of 38 passing through the same network. (This is the network used in Example 8.) Use the maximum flow–minimum cut theorem to prove that the flow is maximal.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178765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7876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Figure 1 shows a capacitated directed network. Figure 2 shows a flow of 17 passing through the same network. Use the maximum flow–minimum cut theorem to prove that the flow is maximal.</w:t>
      </w:r>
    </w:p>
    <w:p>
      <w:pPr>
        <w:keepNext/>
        <w:ind w:left="357"/>
        <w:jc w:val="both"/>
      </w:pPr>
      <w:r>
        <w:t>Figure 1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111692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2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1169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Figure 2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111692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2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1169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diagram shows a capacitated directed network and a flow through the same network. Use the maximum flow–minimum cut theorem to prove that the flow is maximal.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321456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2145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