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8B Dummy Activities</w:t>
      </w:r>
    </w:p>
    <w:p>
      <w:pPr>
        <w:ind w:left="357" w:hanging="357"/>
        <w:jc w:val="both"/>
      </w:pPr>
      <w:r>
        <w:t>1.</w:t>
        <w:tab/>
        <w:t>Draw an activity network for this precedence table.</w:t>
      </w:r>
    </w:p>
    <w:tbl>
      <w:tblPr>
        <w:tblStyle w:val="TableGrid"/>
        <w:tblW w:type="dxa" w:w="3969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268"/>
      </w:tblGrid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</w:rPr>
              <w:t>Activity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/>
              </w:rPr>
              <w:t>Depends on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A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</w:rPr>
              <w:t>–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B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</w:rPr>
              <w:t>–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C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</w:rPr>
              <w:t>A, B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D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</w:rPr>
              <w:t>A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Dummy activity: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Uniqueness: every activity must be uniquely represented in terms of its events, so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2.</w:t>
        <w:tab/>
        <w:t>This diagram shows part of an activity network. Event S depends on activities P, Q and R. Activities P and Q both start at event 6. Explain why P cannot also be drawn from event 6 to event 8, and show how a dummy can be used instead.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20000" cy="12162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162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3.</w:t>
        <w:tab/>
        <w:t>Draw an activity network for this precedence table. Use exactly two dummies.</w:t>
      </w:r>
    </w:p>
    <w:tbl>
      <w:tblPr>
        <w:tblStyle w:val="TableGrid"/>
        <w:tblW w:type="dxa" w:w="5103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402"/>
      </w:tblGrid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</w:rPr>
              <w:t>Activity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/>
              </w:rPr>
              <w:t>Immediately preceding activities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A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–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B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A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C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A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D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A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E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B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F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B, C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G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D, F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H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D</w:t>
            </w:r>
          </w:p>
        </w:tc>
      </w:tr>
      <w:tr>
        <w:trPr>
          <w:trHeight w:val="425"/>
        </w:trPr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  <w:t>I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</w:rPr>
              <w:t>G, H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