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8F" w:rsidRDefault="00536E8F" w:rsidP="005133C1">
      <w:pPr>
        <w:ind w:right="538" w:firstLine="720"/>
        <w:jc w:val="both"/>
        <w:rPr>
          <w:rFonts w:ascii="Verdana" w:hAnsi="Verdana" w:cs="Verdana"/>
          <w:b/>
          <w:bCs/>
          <w:szCs w:val="20"/>
        </w:rPr>
      </w:pPr>
      <w:r>
        <w:rPr>
          <w:rFonts w:ascii="Verdana" w:hAnsi="Verdana" w:cs="Verdana"/>
          <w:b/>
          <w:bCs/>
          <w:szCs w:val="20"/>
        </w:rPr>
        <w:t>GCE AS Mathematics (8AM0) – Paper 21</w:t>
      </w:r>
    </w:p>
    <w:p w:rsidR="00536E8F" w:rsidRDefault="00536E8F" w:rsidP="005133C1">
      <w:pPr>
        <w:ind w:right="538" w:firstLine="720"/>
        <w:jc w:val="both"/>
        <w:rPr>
          <w:rFonts w:ascii="Verdana" w:hAnsi="Verdana" w:cs="Verdana"/>
          <w:b/>
          <w:bCs/>
          <w:szCs w:val="20"/>
        </w:rPr>
      </w:pPr>
      <w:r>
        <w:rPr>
          <w:rFonts w:ascii="Verdana" w:hAnsi="Verdana" w:cs="Verdana"/>
          <w:b/>
          <w:bCs/>
          <w:szCs w:val="20"/>
        </w:rPr>
        <w:t>Statistics</w:t>
      </w:r>
    </w:p>
    <w:p w:rsidR="00536E8F" w:rsidRDefault="00536E8F" w:rsidP="005133C1">
      <w:pPr>
        <w:ind w:right="538" w:firstLine="720"/>
        <w:jc w:val="both"/>
        <w:rPr>
          <w:rFonts w:ascii="Verdana" w:hAnsi="Verdana" w:cs="Verdana"/>
          <w:b/>
          <w:bCs/>
          <w:szCs w:val="20"/>
        </w:rPr>
      </w:pPr>
    </w:p>
    <w:p w:rsidR="00536E8F" w:rsidRDefault="00536E8F" w:rsidP="00BA333C">
      <w:pPr>
        <w:ind w:right="538" w:firstLine="720"/>
        <w:jc w:val="both"/>
        <w:rPr>
          <w:rFonts w:ascii="Verdana" w:hAnsi="Verdana" w:cs="Verdana"/>
          <w:b/>
          <w:bCs/>
          <w:szCs w:val="20"/>
        </w:rPr>
      </w:pPr>
      <w:r>
        <w:rPr>
          <w:rFonts w:ascii="Verdana" w:hAnsi="Verdana" w:cs="Verdana"/>
          <w:b/>
          <w:bCs/>
          <w:szCs w:val="20"/>
        </w:rPr>
        <w:t>October 2020 student-friendly mark scheme</w:t>
      </w:r>
    </w:p>
    <w:p w:rsidR="00536E8F" w:rsidRDefault="00536E8F" w:rsidP="00BA333C">
      <w:pPr>
        <w:ind w:left="720" w:right="538" w:firstLine="720"/>
        <w:jc w:val="both"/>
        <w:rPr>
          <w:rFonts w:ascii="Verdana" w:hAnsi="Verdana" w:cs="Verdana"/>
          <w:b/>
          <w:bCs/>
          <w:szCs w:val="20"/>
        </w:rPr>
      </w:pPr>
    </w:p>
    <w:p w:rsidR="00536E8F" w:rsidRDefault="00536E8F" w:rsidP="00BA333C">
      <w:pPr>
        <w:ind w:left="720" w:right="538" w:firstLine="720"/>
        <w:jc w:val="both"/>
        <w:rPr>
          <w:rFonts w:ascii="Verdana" w:hAnsi="Verdana" w:cs="Verdana"/>
          <w:b/>
          <w:bCs/>
          <w:szCs w:val="20"/>
        </w:rPr>
      </w:pPr>
    </w:p>
    <w:p w:rsidR="00536E8F" w:rsidRDefault="00536E8F"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536E8F" w:rsidRDefault="00536E8F" w:rsidP="00BA333C">
      <w:pPr>
        <w:ind w:left="720" w:right="538" w:firstLine="6"/>
        <w:jc w:val="both"/>
        <w:rPr>
          <w:rFonts w:ascii="Verdana" w:hAnsi="Verdana" w:cs="Verdana"/>
          <w:b/>
          <w:bCs/>
          <w:szCs w:val="20"/>
        </w:rPr>
      </w:pPr>
    </w:p>
    <w:p w:rsidR="00536E8F" w:rsidRDefault="00536E8F"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536E8F" w:rsidRDefault="00536E8F" w:rsidP="00BA333C">
      <w:pPr>
        <w:ind w:left="720" w:right="538" w:firstLine="720"/>
        <w:jc w:val="both"/>
        <w:rPr>
          <w:rFonts w:ascii="Verdana" w:hAnsi="Verdana" w:cs="Verdana"/>
          <w:b/>
          <w:bCs/>
          <w:szCs w:val="20"/>
        </w:rPr>
      </w:pPr>
    </w:p>
    <w:p w:rsidR="00536E8F" w:rsidRPr="00702F7F" w:rsidRDefault="00536E8F" w:rsidP="00702F7F">
      <w:pPr>
        <w:tabs>
          <w:tab w:val="right" w:pos="10065"/>
        </w:tabs>
        <w:ind w:left="737"/>
        <w:rPr>
          <w:rFonts w:ascii="Verdana" w:hAnsi="Verdana" w:cs="Verdana"/>
          <w:b/>
          <w:bCs/>
          <w:szCs w:val="20"/>
        </w:rPr>
      </w:pPr>
      <w:r w:rsidRPr="00702F7F">
        <w:rPr>
          <w:rFonts w:ascii="Verdana" w:hAnsi="Verdana" w:cs="Verdana"/>
          <w:b/>
          <w:bCs/>
          <w:szCs w:val="20"/>
        </w:rPr>
        <w:t xml:space="preserve">This document is intended for guidance only and may differ significantly from the final mark scheme published in </w:t>
      </w:r>
      <w:r>
        <w:rPr>
          <w:rFonts w:ascii="Verdana" w:hAnsi="Verdana" w:cs="Verdana"/>
          <w:b/>
          <w:bCs/>
          <w:szCs w:val="20"/>
        </w:rPr>
        <w:t>December 2020</w:t>
      </w:r>
      <w:r w:rsidRPr="00702F7F">
        <w:rPr>
          <w:rFonts w:ascii="Verdana" w:hAnsi="Verdana" w:cs="Verdana"/>
          <w:b/>
          <w:bCs/>
          <w:szCs w:val="20"/>
        </w:rPr>
        <w:t>.</w:t>
      </w:r>
    </w:p>
    <w:p w:rsidR="00536E8F" w:rsidRDefault="00536E8F" w:rsidP="00BA333C">
      <w:pPr>
        <w:ind w:left="720" w:right="538" w:firstLine="720"/>
        <w:jc w:val="both"/>
        <w:rPr>
          <w:rFonts w:ascii="Verdana" w:hAnsi="Verdana" w:cs="Verdana"/>
          <w:b/>
          <w:bCs/>
          <w:szCs w:val="20"/>
        </w:rPr>
      </w:pPr>
    </w:p>
    <w:p w:rsidR="00536E8F" w:rsidRDefault="00536E8F" w:rsidP="00BA333C">
      <w:pPr>
        <w:ind w:left="720" w:right="538" w:firstLine="720"/>
        <w:jc w:val="both"/>
        <w:rPr>
          <w:rFonts w:ascii="Verdana" w:hAnsi="Verdana" w:cs="Verdana"/>
          <w:b/>
          <w:bCs/>
          <w:szCs w:val="20"/>
        </w:rPr>
      </w:pPr>
    </w:p>
    <w:p w:rsidR="00536E8F" w:rsidRDefault="00536E8F" w:rsidP="00BA333C">
      <w:pPr>
        <w:ind w:left="720" w:right="538" w:firstLine="720"/>
        <w:jc w:val="both"/>
        <w:rPr>
          <w:rFonts w:ascii="Verdana" w:hAnsi="Verdana" w:cs="Verdana"/>
          <w:b/>
          <w:bCs/>
          <w:szCs w:val="20"/>
        </w:rPr>
      </w:pPr>
    </w:p>
    <w:p w:rsidR="00536E8F" w:rsidRDefault="00536E8F" w:rsidP="00BA333C">
      <w:pPr>
        <w:ind w:left="720" w:right="538" w:firstLine="720"/>
        <w:jc w:val="both"/>
        <w:rPr>
          <w:rFonts w:ascii="Verdana" w:hAnsi="Verdana" w:cs="Verdana"/>
          <w:b/>
          <w:bCs/>
          <w:szCs w:val="20"/>
        </w:rPr>
      </w:pPr>
    </w:p>
    <w:p w:rsidR="00536E8F" w:rsidRDefault="00536E8F" w:rsidP="00BA333C">
      <w:pPr>
        <w:ind w:left="720" w:right="538" w:firstLine="720"/>
        <w:jc w:val="both"/>
        <w:rPr>
          <w:rFonts w:ascii="Verdana" w:hAnsi="Verdana" w:cs="Verdana"/>
          <w:b/>
          <w:bCs/>
          <w:szCs w:val="20"/>
        </w:rPr>
      </w:pPr>
    </w:p>
    <w:p w:rsidR="00536E8F" w:rsidRDefault="00536E8F" w:rsidP="00BA333C">
      <w:pPr>
        <w:ind w:left="720" w:right="538" w:firstLine="720"/>
        <w:jc w:val="both"/>
        <w:rPr>
          <w:rFonts w:ascii="Verdana" w:hAnsi="Verdana" w:cs="Verdana"/>
          <w:b/>
          <w:bCs/>
          <w:szCs w:val="20"/>
        </w:rPr>
      </w:pPr>
    </w:p>
    <w:p w:rsidR="00536E8F" w:rsidRDefault="00536E8F"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536E8F" w:rsidRPr="000E7FDD" w:rsidTr="0092175E">
        <w:tc>
          <w:tcPr>
            <w:tcW w:w="8976" w:type="dxa"/>
            <w:shd w:val="clear" w:color="auto" w:fill="D9D9D9"/>
          </w:tcPr>
          <w:p w:rsidR="00536E8F" w:rsidRPr="000E7FDD" w:rsidRDefault="00536E8F" w:rsidP="0092175E">
            <w:pPr>
              <w:jc w:val="both"/>
              <w:rPr>
                <w:rFonts w:ascii="Verdana" w:hAnsi="Verdana" w:cs="Verdana"/>
              </w:rPr>
            </w:pPr>
          </w:p>
          <w:p w:rsidR="00536E8F" w:rsidRPr="000E7FDD" w:rsidRDefault="00536E8F"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536E8F" w:rsidRPr="000E7FDD" w:rsidRDefault="00536E8F" w:rsidP="0092175E">
            <w:pPr>
              <w:jc w:val="both"/>
              <w:rPr>
                <w:rFonts w:ascii="Verdana" w:hAnsi="Verdana" w:cs="Verdana"/>
              </w:rPr>
            </w:pPr>
          </w:p>
        </w:tc>
      </w:tr>
      <w:tr w:rsidR="00536E8F" w:rsidRPr="000E7FDD" w:rsidTr="0092175E">
        <w:tc>
          <w:tcPr>
            <w:tcW w:w="8976" w:type="dxa"/>
            <w:shd w:val="clear" w:color="auto" w:fill="D9D9D9"/>
          </w:tcPr>
          <w:p w:rsidR="00536E8F" w:rsidRPr="000E7FDD" w:rsidRDefault="00536E8F" w:rsidP="0092175E">
            <w:pPr>
              <w:jc w:val="both"/>
              <w:rPr>
                <w:rFonts w:ascii="Verdana" w:hAnsi="Verdana" w:cs="Verdana"/>
              </w:rPr>
            </w:pPr>
          </w:p>
          <w:p w:rsidR="00536E8F" w:rsidRPr="000E7FDD" w:rsidRDefault="00536E8F"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536E8F" w:rsidRPr="000E7FDD" w:rsidRDefault="00536E8F" w:rsidP="0092175E">
            <w:pPr>
              <w:jc w:val="both"/>
              <w:rPr>
                <w:rFonts w:ascii="Verdana" w:hAnsi="Verdana" w:cs="Verdana"/>
              </w:rPr>
            </w:pPr>
          </w:p>
          <w:p w:rsidR="00536E8F" w:rsidRPr="000E7FDD" w:rsidRDefault="00536E8F"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536E8F" w:rsidRPr="000E7FDD" w:rsidRDefault="00536E8F" w:rsidP="0092175E">
            <w:pPr>
              <w:jc w:val="both"/>
              <w:rPr>
                <w:rFonts w:ascii="Verdana" w:hAnsi="Verdana" w:cs="Verdana"/>
              </w:rPr>
            </w:pPr>
          </w:p>
          <w:p w:rsidR="00536E8F" w:rsidRPr="000E7FDD" w:rsidRDefault="00536E8F"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536E8F" w:rsidRPr="000E7FDD" w:rsidRDefault="00536E8F" w:rsidP="0092175E">
            <w:pPr>
              <w:jc w:val="both"/>
              <w:rPr>
                <w:rFonts w:ascii="Verdana" w:hAnsi="Verdana" w:cs="Verdana"/>
              </w:rPr>
            </w:pPr>
          </w:p>
          <w:p w:rsidR="00536E8F" w:rsidRPr="000E7FDD" w:rsidRDefault="00536E8F"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536E8F" w:rsidRPr="000E7FDD" w:rsidRDefault="00536E8F" w:rsidP="0092175E">
            <w:pPr>
              <w:jc w:val="both"/>
              <w:rPr>
                <w:rFonts w:ascii="Verdana" w:hAnsi="Verdana" w:cs="Verdana"/>
              </w:rPr>
            </w:pPr>
          </w:p>
          <w:p w:rsidR="00536E8F" w:rsidRPr="000E7FDD" w:rsidRDefault="00536E8F" w:rsidP="0092175E">
            <w:pPr>
              <w:jc w:val="both"/>
              <w:rPr>
                <w:rFonts w:ascii="Verdana" w:hAnsi="Verdana" w:cs="Verdana"/>
              </w:rPr>
            </w:pPr>
          </w:p>
        </w:tc>
      </w:tr>
    </w:tbl>
    <w:p w:rsidR="00536E8F" w:rsidRPr="00383F4F" w:rsidRDefault="00536E8F" w:rsidP="00BA333C">
      <w:pPr>
        <w:ind w:left="720" w:right="538" w:firstLine="17"/>
        <w:jc w:val="both"/>
        <w:rPr>
          <w:rFonts w:ascii="Verdana" w:hAnsi="Verdana" w:cs="Verdana"/>
          <w:sz w:val="20"/>
          <w:szCs w:val="20"/>
        </w:rPr>
      </w:pPr>
    </w:p>
    <w:p w:rsidR="00536E8F" w:rsidRPr="00383F4F" w:rsidRDefault="00536E8F"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536E8F" w:rsidRDefault="00536E8F" w:rsidP="00BA333C">
      <w:pPr>
        <w:tabs>
          <w:tab w:val="left" w:pos="1944"/>
        </w:tabs>
        <w:rPr>
          <w:b/>
        </w:rPr>
      </w:pPr>
    </w:p>
    <w:p w:rsidR="00536E8F" w:rsidRPr="000830B2" w:rsidRDefault="00536E8F" w:rsidP="000830B2">
      <w:pPr>
        <w:tabs>
          <w:tab w:val="left" w:pos="1944"/>
        </w:tabs>
        <w:spacing w:line="360" w:lineRule="auto"/>
      </w:pPr>
      <w:r>
        <w:rPr>
          <w:b/>
        </w:rPr>
        <w:br w:type="page"/>
      </w:r>
      <w:r w:rsidRPr="00B96873">
        <w:rPr>
          <w:b/>
        </w:rPr>
        <w:t xml:space="preserve">Question 1 (Total </w:t>
      </w:r>
      <w:r>
        <w:rPr>
          <w:b/>
        </w:rPr>
        <w:t>4</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536E8F" w:rsidRPr="00B96873" w:rsidTr="00B32B93">
        <w:tc>
          <w:tcPr>
            <w:tcW w:w="842" w:type="dxa"/>
            <w:shd w:val="clear" w:color="auto" w:fill="C0C0C0"/>
          </w:tcPr>
          <w:p w:rsidR="00536E8F" w:rsidRPr="00B96873" w:rsidRDefault="00536E8F" w:rsidP="00F86D03">
            <w:pPr>
              <w:rPr>
                <w:b/>
              </w:rPr>
            </w:pPr>
            <w:r w:rsidRPr="00B96873">
              <w:rPr>
                <w:b/>
              </w:rPr>
              <w:t>Part</w:t>
            </w:r>
          </w:p>
        </w:tc>
        <w:tc>
          <w:tcPr>
            <w:tcW w:w="4338" w:type="dxa"/>
            <w:shd w:val="clear" w:color="auto" w:fill="C0C0C0"/>
          </w:tcPr>
          <w:p w:rsidR="00536E8F" w:rsidRPr="00B96873" w:rsidRDefault="00536E8F" w:rsidP="00F86D03">
            <w:pPr>
              <w:rPr>
                <w:b/>
              </w:rPr>
            </w:pPr>
            <w:r w:rsidRPr="00B96873">
              <w:rPr>
                <w:b/>
              </w:rPr>
              <w:t>Working or answer an examiner might expect to see</w:t>
            </w:r>
          </w:p>
        </w:tc>
        <w:tc>
          <w:tcPr>
            <w:tcW w:w="888" w:type="dxa"/>
            <w:shd w:val="clear" w:color="auto" w:fill="C0C0C0"/>
          </w:tcPr>
          <w:p w:rsidR="00536E8F" w:rsidRPr="00B96873" w:rsidRDefault="00536E8F" w:rsidP="00F86D03">
            <w:pPr>
              <w:rPr>
                <w:b/>
              </w:rPr>
            </w:pPr>
            <w:r w:rsidRPr="00B96873">
              <w:rPr>
                <w:b/>
              </w:rPr>
              <w:t>Mark</w:t>
            </w:r>
          </w:p>
        </w:tc>
        <w:tc>
          <w:tcPr>
            <w:tcW w:w="4126" w:type="dxa"/>
            <w:shd w:val="clear" w:color="auto" w:fill="C0C0C0"/>
          </w:tcPr>
          <w:p w:rsidR="00536E8F" w:rsidRPr="00B96873" w:rsidRDefault="00536E8F" w:rsidP="00F86D03">
            <w:pPr>
              <w:rPr>
                <w:b/>
              </w:rPr>
            </w:pPr>
            <w:r w:rsidRPr="00B96873">
              <w:rPr>
                <w:b/>
              </w:rPr>
              <w:t>Notes</w:t>
            </w:r>
          </w:p>
        </w:tc>
      </w:tr>
      <w:tr w:rsidR="00536E8F" w:rsidRPr="00B96873" w:rsidTr="00B32B93">
        <w:trPr>
          <w:trHeight w:val="90"/>
        </w:trPr>
        <w:tc>
          <w:tcPr>
            <w:tcW w:w="842" w:type="dxa"/>
            <w:vMerge w:val="restart"/>
          </w:tcPr>
          <w:p w:rsidR="00536E8F" w:rsidRDefault="00536E8F" w:rsidP="00687CD8">
            <w:pPr>
              <w:spacing w:before="120" w:after="120"/>
              <w:jc w:val="center"/>
            </w:pPr>
          </w:p>
        </w:tc>
        <w:tc>
          <w:tcPr>
            <w:tcW w:w="4338" w:type="dxa"/>
          </w:tcPr>
          <w:p w:rsidR="00536E8F" w:rsidRPr="00ED36E7" w:rsidRDefault="00536E8F" w:rsidP="00FB433C">
            <w:pPr>
              <w:spacing w:before="120" w:after="120"/>
            </w:pPr>
            <w:r>
              <w:t xml:space="preserve">1 square is </w:t>
            </w:r>
            <w:r w:rsidRPr="00ED36E7">
              <w:rPr>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7" o:title=""/>
                </v:shape>
                <o:OLEObject Type="Embed" ProgID="Equation.3" ShapeID="_x0000_i1025" DrawAspect="Content" ObjectID="_1666781039" r:id="rId8"/>
              </w:object>
            </w:r>
            <w:r>
              <w:t xml:space="preserve"> = 1.5 students</w:t>
            </w:r>
          </w:p>
        </w:tc>
        <w:tc>
          <w:tcPr>
            <w:tcW w:w="888" w:type="dxa"/>
          </w:tcPr>
          <w:p w:rsidR="00536E8F" w:rsidRDefault="00536E8F" w:rsidP="009818CD">
            <w:pPr>
              <w:spacing w:before="120" w:after="120"/>
              <w:jc w:val="center"/>
            </w:pPr>
            <w:r>
              <w:t>M1</w:t>
            </w:r>
          </w:p>
          <w:p w:rsidR="00536E8F" w:rsidRPr="00B96873" w:rsidRDefault="00536E8F" w:rsidP="009818CD">
            <w:pPr>
              <w:spacing w:before="120" w:after="120"/>
              <w:jc w:val="center"/>
            </w:pPr>
            <w:r>
              <w:t>3.1a</w:t>
            </w:r>
          </w:p>
        </w:tc>
        <w:tc>
          <w:tcPr>
            <w:tcW w:w="4126" w:type="dxa"/>
          </w:tcPr>
          <w:p w:rsidR="00536E8F" w:rsidRPr="00B96873" w:rsidRDefault="00536E8F" w:rsidP="00E955AF">
            <w:pPr>
              <w:spacing w:before="120" w:after="120"/>
            </w:pPr>
            <w:r>
              <w:t>This mark is given for a method to find the frequency density scale</w:t>
            </w:r>
          </w:p>
        </w:tc>
      </w:tr>
      <w:tr w:rsidR="00536E8F" w:rsidRPr="00B96873" w:rsidTr="00B32B93">
        <w:trPr>
          <w:trHeight w:val="90"/>
        </w:trPr>
        <w:tc>
          <w:tcPr>
            <w:tcW w:w="842" w:type="dxa"/>
            <w:vMerge/>
          </w:tcPr>
          <w:p w:rsidR="00536E8F" w:rsidRDefault="00536E8F" w:rsidP="00687CD8">
            <w:pPr>
              <w:spacing w:before="120" w:after="120"/>
              <w:jc w:val="center"/>
            </w:pPr>
          </w:p>
        </w:tc>
        <w:tc>
          <w:tcPr>
            <w:tcW w:w="4338" w:type="dxa"/>
          </w:tcPr>
          <w:p w:rsidR="00536E8F" w:rsidRPr="00C222CE" w:rsidRDefault="00536E8F" w:rsidP="00FB433C">
            <w:pPr>
              <w:spacing w:before="120" w:after="120"/>
            </w:pPr>
            <w:r>
              <w:t>24 students took less than 11 minutes</w:t>
            </w:r>
          </w:p>
        </w:tc>
        <w:tc>
          <w:tcPr>
            <w:tcW w:w="888" w:type="dxa"/>
          </w:tcPr>
          <w:p w:rsidR="00536E8F" w:rsidRDefault="00536E8F" w:rsidP="009818CD">
            <w:pPr>
              <w:spacing w:before="120" w:after="120"/>
              <w:jc w:val="center"/>
            </w:pPr>
            <w:r>
              <w:t>A1</w:t>
            </w:r>
          </w:p>
          <w:p w:rsidR="00536E8F" w:rsidRPr="00B96873" w:rsidRDefault="00536E8F" w:rsidP="009818CD">
            <w:pPr>
              <w:spacing w:before="120" w:after="120"/>
              <w:jc w:val="center"/>
            </w:pPr>
            <w:r>
              <w:t>1.1b</w:t>
            </w:r>
          </w:p>
        </w:tc>
        <w:tc>
          <w:tcPr>
            <w:tcW w:w="4126" w:type="dxa"/>
          </w:tcPr>
          <w:p w:rsidR="00536E8F" w:rsidRDefault="00536E8F" w:rsidP="0020383E">
            <w:pPr>
              <w:spacing w:before="120" w:after="120"/>
            </w:pPr>
            <w:r>
              <w:t>This mark is given for the correct number of students</w:t>
            </w:r>
          </w:p>
        </w:tc>
      </w:tr>
      <w:tr w:rsidR="00536E8F" w:rsidRPr="00B96873" w:rsidTr="00B32B93">
        <w:trPr>
          <w:trHeight w:val="90"/>
        </w:trPr>
        <w:tc>
          <w:tcPr>
            <w:tcW w:w="842" w:type="dxa"/>
            <w:vMerge/>
          </w:tcPr>
          <w:p w:rsidR="00536E8F" w:rsidRDefault="00536E8F" w:rsidP="00687CD8">
            <w:pPr>
              <w:spacing w:before="120" w:after="120"/>
              <w:jc w:val="center"/>
            </w:pPr>
          </w:p>
        </w:tc>
        <w:tc>
          <w:tcPr>
            <w:tcW w:w="4338" w:type="dxa"/>
          </w:tcPr>
          <w:p w:rsidR="00536E8F" w:rsidRPr="00C222CE" w:rsidRDefault="00536E8F" w:rsidP="00FB433C">
            <w:pPr>
              <w:spacing w:before="120" w:after="120"/>
            </w:pPr>
            <w:r w:rsidRPr="00ED36E7">
              <w:rPr>
                <w:position w:val="-24"/>
              </w:rPr>
              <w:object w:dxaOrig="1700" w:dyaOrig="620">
                <v:shape id="_x0000_i1026" type="#_x0000_t75" style="width:82.5pt;height:30.75pt" o:ole="">
                  <v:imagedata r:id="rId9" o:title=""/>
                </v:shape>
                <o:OLEObject Type="Embed" ProgID="Equation.3" ShapeID="_x0000_i1026" DrawAspect="Content" ObjectID="_1666781040" r:id="rId10"/>
              </w:object>
            </w:r>
            <w:r>
              <w:t xml:space="preserve"> </w:t>
            </w:r>
            <w:r>
              <w:sym w:font="Symbol" w:char="F0B4"/>
            </w:r>
            <w:r>
              <w:t xml:space="preserve"> 100</w:t>
            </w:r>
          </w:p>
        </w:tc>
        <w:tc>
          <w:tcPr>
            <w:tcW w:w="888" w:type="dxa"/>
          </w:tcPr>
          <w:p w:rsidR="00536E8F" w:rsidRDefault="00536E8F" w:rsidP="009818CD">
            <w:pPr>
              <w:spacing w:before="120" w:after="120"/>
              <w:jc w:val="center"/>
            </w:pPr>
            <w:r>
              <w:t>M1</w:t>
            </w:r>
          </w:p>
          <w:p w:rsidR="00536E8F" w:rsidRDefault="00536E8F" w:rsidP="009818CD">
            <w:pPr>
              <w:spacing w:before="120" w:after="120"/>
              <w:jc w:val="center"/>
            </w:pPr>
            <w:r>
              <w:t>3.1b</w:t>
            </w:r>
          </w:p>
        </w:tc>
        <w:tc>
          <w:tcPr>
            <w:tcW w:w="4126" w:type="dxa"/>
          </w:tcPr>
          <w:p w:rsidR="00536E8F" w:rsidRPr="008F68E6" w:rsidRDefault="00536E8F" w:rsidP="00E955AF">
            <w:pPr>
              <w:spacing w:before="120" w:after="120"/>
            </w:pPr>
            <w:r>
              <w:t>This mark is given to find the percentage</w:t>
            </w:r>
          </w:p>
        </w:tc>
      </w:tr>
      <w:tr w:rsidR="00536E8F" w:rsidRPr="00B96873" w:rsidTr="00B32B93">
        <w:trPr>
          <w:trHeight w:val="90"/>
        </w:trPr>
        <w:tc>
          <w:tcPr>
            <w:tcW w:w="842" w:type="dxa"/>
            <w:vMerge/>
          </w:tcPr>
          <w:p w:rsidR="00536E8F" w:rsidRDefault="00536E8F" w:rsidP="00687CD8">
            <w:pPr>
              <w:spacing w:before="120" w:after="120"/>
              <w:jc w:val="center"/>
            </w:pPr>
          </w:p>
        </w:tc>
        <w:tc>
          <w:tcPr>
            <w:tcW w:w="4338" w:type="dxa"/>
          </w:tcPr>
          <w:p w:rsidR="00536E8F" w:rsidRPr="00C222CE" w:rsidRDefault="00536E8F" w:rsidP="00FB433C">
            <w:pPr>
              <w:spacing w:before="120" w:after="120"/>
            </w:pPr>
            <w:r>
              <w:t>18%</w:t>
            </w:r>
          </w:p>
        </w:tc>
        <w:tc>
          <w:tcPr>
            <w:tcW w:w="888" w:type="dxa"/>
          </w:tcPr>
          <w:p w:rsidR="00536E8F" w:rsidRDefault="00536E8F" w:rsidP="009818CD">
            <w:pPr>
              <w:spacing w:before="120" w:after="120"/>
              <w:jc w:val="center"/>
            </w:pPr>
            <w:r>
              <w:t>A1</w:t>
            </w:r>
          </w:p>
          <w:p w:rsidR="00536E8F" w:rsidRDefault="00536E8F" w:rsidP="009818CD">
            <w:pPr>
              <w:spacing w:before="120" w:after="120"/>
              <w:jc w:val="center"/>
            </w:pPr>
            <w:r>
              <w:t>1.1b</w:t>
            </w:r>
          </w:p>
        </w:tc>
        <w:tc>
          <w:tcPr>
            <w:tcW w:w="4126" w:type="dxa"/>
          </w:tcPr>
          <w:p w:rsidR="00536E8F" w:rsidRDefault="00536E8F" w:rsidP="00E955AF">
            <w:pPr>
              <w:spacing w:before="120" w:after="120"/>
            </w:pPr>
            <w:r>
              <w:t>This mark is given for the correct answer only (to the nearest whole number)</w:t>
            </w:r>
          </w:p>
        </w:tc>
      </w:tr>
    </w:tbl>
    <w:p w:rsidR="00536E8F" w:rsidRDefault="00536E8F" w:rsidP="00A2357B"/>
    <w:p w:rsidR="00536E8F" w:rsidRPr="008F68E6" w:rsidRDefault="00536E8F" w:rsidP="00A2357B"/>
    <w:p w:rsidR="00536E8F" w:rsidRPr="000830B2" w:rsidRDefault="00536E8F" w:rsidP="00B92772">
      <w:pPr>
        <w:tabs>
          <w:tab w:val="left" w:pos="1944"/>
        </w:tabs>
        <w:spacing w:line="360" w:lineRule="auto"/>
      </w:pPr>
      <w:r w:rsidRPr="008F68E6">
        <w:rPr>
          <w:b/>
          <w:lang w:val="pt-BR"/>
        </w:rPr>
        <w:t xml:space="preserve">Question 2 (Total </w:t>
      </w:r>
      <w:r>
        <w:rPr>
          <w:b/>
          <w:lang w:val="pt-BR"/>
        </w:rPr>
        <w:t>5</w:t>
      </w:r>
      <w:r w:rsidRPr="008F68E6">
        <w:rPr>
          <w:b/>
          <w:lang w:val="pt-BR"/>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536E8F" w:rsidRPr="00B96873" w:rsidTr="00B32B93">
        <w:tc>
          <w:tcPr>
            <w:tcW w:w="844" w:type="dxa"/>
            <w:shd w:val="clear" w:color="auto" w:fill="C0C0C0"/>
          </w:tcPr>
          <w:p w:rsidR="00536E8F" w:rsidRPr="00B96873" w:rsidRDefault="00536E8F" w:rsidP="00A56532">
            <w:pPr>
              <w:rPr>
                <w:b/>
              </w:rPr>
            </w:pPr>
            <w:r w:rsidRPr="00B96873">
              <w:rPr>
                <w:b/>
              </w:rPr>
              <w:t>Part</w:t>
            </w:r>
          </w:p>
        </w:tc>
        <w:tc>
          <w:tcPr>
            <w:tcW w:w="4287" w:type="dxa"/>
            <w:shd w:val="clear" w:color="auto" w:fill="C0C0C0"/>
          </w:tcPr>
          <w:p w:rsidR="00536E8F" w:rsidRPr="00B96873" w:rsidRDefault="00536E8F" w:rsidP="00A56532">
            <w:pPr>
              <w:rPr>
                <w:b/>
              </w:rPr>
            </w:pPr>
            <w:r w:rsidRPr="00B96873">
              <w:rPr>
                <w:b/>
              </w:rPr>
              <w:t>Working or answer an examiner might expect to see</w:t>
            </w:r>
          </w:p>
        </w:tc>
        <w:tc>
          <w:tcPr>
            <w:tcW w:w="890" w:type="dxa"/>
            <w:shd w:val="clear" w:color="auto" w:fill="C0C0C0"/>
          </w:tcPr>
          <w:p w:rsidR="00536E8F" w:rsidRPr="00B96873" w:rsidRDefault="00536E8F" w:rsidP="00A56532">
            <w:pPr>
              <w:rPr>
                <w:b/>
              </w:rPr>
            </w:pPr>
            <w:r w:rsidRPr="00B96873">
              <w:rPr>
                <w:b/>
              </w:rPr>
              <w:t>Mark</w:t>
            </w:r>
          </w:p>
        </w:tc>
        <w:tc>
          <w:tcPr>
            <w:tcW w:w="4173" w:type="dxa"/>
            <w:shd w:val="clear" w:color="auto" w:fill="C0C0C0"/>
          </w:tcPr>
          <w:p w:rsidR="00536E8F" w:rsidRPr="00B96873" w:rsidRDefault="00536E8F" w:rsidP="00A56532">
            <w:pPr>
              <w:rPr>
                <w:b/>
              </w:rPr>
            </w:pPr>
            <w:r w:rsidRPr="00B96873">
              <w:rPr>
                <w:b/>
              </w:rPr>
              <w:t>Notes</w:t>
            </w:r>
          </w:p>
        </w:tc>
      </w:tr>
      <w:tr w:rsidR="00536E8F" w:rsidRPr="00B96873" w:rsidTr="00B32B93">
        <w:tc>
          <w:tcPr>
            <w:tcW w:w="844" w:type="dxa"/>
          </w:tcPr>
          <w:p w:rsidR="00536E8F" w:rsidRPr="00B96873" w:rsidRDefault="00536E8F" w:rsidP="005B1029">
            <w:pPr>
              <w:spacing w:before="120" w:after="120"/>
              <w:jc w:val="center"/>
            </w:pPr>
            <w:r>
              <w:t>(a)</w:t>
            </w:r>
          </w:p>
        </w:tc>
        <w:tc>
          <w:tcPr>
            <w:tcW w:w="4287" w:type="dxa"/>
          </w:tcPr>
          <w:p w:rsidR="00536E8F" w:rsidRPr="008D71B0" w:rsidRDefault="00536E8F" w:rsidP="005B1029">
            <w:pPr>
              <w:spacing w:before="120" w:after="120"/>
            </w:pPr>
            <w:r>
              <w:t>0  to 50 m</w:t>
            </w:r>
          </w:p>
        </w:tc>
        <w:tc>
          <w:tcPr>
            <w:tcW w:w="890" w:type="dxa"/>
          </w:tcPr>
          <w:p w:rsidR="00536E8F" w:rsidRDefault="00536E8F" w:rsidP="005B1029">
            <w:pPr>
              <w:spacing w:before="120" w:after="120"/>
              <w:jc w:val="center"/>
            </w:pPr>
            <w:r>
              <w:t>B1</w:t>
            </w:r>
          </w:p>
          <w:p w:rsidR="00536E8F" w:rsidRPr="00B96873" w:rsidRDefault="00536E8F" w:rsidP="005B1029">
            <w:pPr>
              <w:spacing w:before="120" w:after="120"/>
              <w:jc w:val="center"/>
            </w:pPr>
            <w:r>
              <w:t>1.2</w:t>
            </w:r>
          </w:p>
        </w:tc>
        <w:tc>
          <w:tcPr>
            <w:tcW w:w="4173" w:type="dxa"/>
          </w:tcPr>
          <w:p w:rsidR="00536E8F" w:rsidRDefault="00536E8F" w:rsidP="0020383E">
            <w:pPr>
              <w:spacing w:before="120" w:after="120"/>
            </w:pPr>
            <w:r>
              <w:t>This mark is given for the correct range of distances</w:t>
            </w:r>
          </w:p>
        </w:tc>
      </w:tr>
      <w:tr w:rsidR="00536E8F" w:rsidRPr="00B96873" w:rsidTr="00B32B93">
        <w:tc>
          <w:tcPr>
            <w:tcW w:w="844" w:type="dxa"/>
            <w:vMerge w:val="restart"/>
          </w:tcPr>
          <w:p w:rsidR="00536E8F" w:rsidRPr="00B96873" w:rsidRDefault="00536E8F" w:rsidP="005B1029">
            <w:pPr>
              <w:spacing w:before="120" w:after="120"/>
              <w:jc w:val="center"/>
            </w:pPr>
            <w:r>
              <w:t>(b)</w:t>
            </w:r>
          </w:p>
        </w:tc>
        <w:tc>
          <w:tcPr>
            <w:tcW w:w="4287" w:type="dxa"/>
          </w:tcPr>
          <w:p w:rsidR="00536E8F" w:rsidRPr="008D71B0" w:rsidRDefault="00536E8F" w:rsidP="005B1029">
            <w:pPr>
              <w:spacing w:before="120" w:after="120"/>
            </w:pPr>
            <w:r>
              <w:t xml:space="preserve">1100 + 1600 + (1.5 </w:t>
            </w:r>
            <w:r>
              <w:sym w:font="Symbol" w:char="F0B4"/>
            </w:r>
            <w:r>
              <w:t xml:space="preserve"> 1600) = 5100</w:t>
            </w:r>
          </w:p>
        </w:tc>
        <w:tc>
          <w:tcPr>
            <w:tcW w:w="890" w:type="dxa"/>
          </w:tcPr>
          <w:p w:rsidR="00536E8F" w:rsidRDefault="00536E8F" w:rsidP="005B1029">
            <w:pPr>
              <w:spacing w:before="120" w:after="120"/>
              <w:jc w:val="center"/>
            </w:pPr>
            <w:r>
              <w:t>M1</w:t>
            </w:r>
          </w:p>
          <w:p w:rsidR="00536E8F" w:rsidRPr="00B96873" w:rsidRDefault="00536E8F" w:rsidP="005B1029">
            <w:pPr>
              <w:spacing w:before="120" w:after="120"/>
              <w:jc w:val="center"/>
            </w:pPr>
            <w:r>
              <w:t>2.1</w:t>
            </w:r>
          </w:p>
        </w:tc>
        <w:tc>
          <w:tcPr>
            <w:tcW w:w="4173" w:type="dxa"/>
          </w:tcPr>
          <w:p w:rsidR="00536E8F" w:rsidRPr="0072618B" w:rsidRDefault="00536E8F" w:rsidP="0020383E">
            <w:pPr>
              <w:spacing w:before="120" w:after="120"/>
              <w:rPr>
                <w:vertAlign w:val="subscript"/>
              </w:rPr>
            </w:pPr>
            <w:r>
              <w:t>This mark is given for a method to find </w:t>
            </w:r>
            <w:r>
              <w:rPr>
                <w:i/>
              </w:rPr>
              <w:t>Q</w:t>
            </w:r>
            <w:r>
              <w:rPr>
                <w:vertAlign w:val="subscript"/>
              </w:rPr>
              <w:t>3</w:t>
            </w:r>
          </w:p>
        </w:tc>
      </w:tr>
      <w:tr w:rsidR="00536E8F" w:rsidRPr="00B96873" w:rsidTr="00B32B93">
        <w:tc>
          <w:tcPr>
            <w:tcW w:w="844" w:type="dxa"/>
            <w:vMerge/>
          </w:tcPr>
          <w:p w:rsidR="00536E8F" w:rsidRPr="00B96873" w:rsidRDefault="00536E8F" w:rsidP="005B1029">
            <w:pPr>
              <w:spacing w:before="120" w:after="120"/>
              <w:jc w:val="center"/>
            </w:pPr>
          </w:p>
        </w:tc>
        <w:tc>
          <w:tcPr>
            <w:tcW w:w="4287" w:type="dxa"/>
          </w:tcPr>
          <w:p w:rsidR="00536E8F" w:rsidRPr="008D71B0" w:rsidRDefault="00536E8F" w:rsidP="005B1029">
            <w:pPr>
              <w:spacing w:before="120" w:after="120"/>
            </w:pPr>
            <w:r>
              <w:t>5300 &gt; 5100, there fore it is an outlier</w:t>
            </w:r>
          </w:p>
        </w:tc>
        <w:tc>
          <w:tcPr>
            <w:tcW w:w="890" w:type="dxa"/>
          </w:tcPr>
          <w:p w:rsidR="00536E8F" w:rsidRDefault="00536E8F" w:rsidP="005B1029">
            <w:pPr>
              <w:spacing w:before="120" w:after="120"/>
              <w:jc w:val="center"/>
            </w:pPr>
            <w:r>
              <w:t>A1</w:t>
            </w:r>
          </w:p>
          <w:p w:rsidR="00536E8F" w:rsidRPr="00B96873" w:rsidRDefault="00536E8F" w:rsidP="005B1029">
            <w:pPr>
              <w:spacing w:before="120" w:after="120"/>
              <w:jc w:val="center"/>
            </w:pPr>
            <w:r>
              <w:t>1.1b</w:t>
            </w:r>
          </w:p>
        </w:tc>
        <w:tc>
          <w:tcPr>
            <w:tcW w:w="4173" w:type="dxa"/>
          </w:tcPr>
          <w:p w:rsidR="00536E8F" w:rsidRDefault="00536E8F" w:rsidP="0020383E">
            <w:pPr>
              <w:spacing w:before="120" w:after="120"/>
            </w:pPr>
            <w:r>
              <w:t>This mark is given for showing that the circled point is an outlier</w:t>
            </w:r>
          </w:p>
        </w:tc>
      </w:tr>
      <w:tr w:rsidR="00536E8F" w:rsidRPr="00B96873" w:rsidTr="00B32B93">
        <w:tc>
          <w:tcPr>
            <w:tcW w:w="844" w:type="dxa"/>
          </w:tcPr>
          <w:p w:rsidR="00536E8F" w:rsidRPr="00B96873" w:rsidRDefault="00536E8F" w:rsidP="005B1029">
            <w:pPr>
              <w:spacing w:before="120" w:after="120"/>
              <w:jc w:val="center"/>
            </w:pPr>
            <w:r>
              <w:t>(c)</w:t>
            </w:r>
          </w:p>
        </w:tc>
        <w:tc>
          <w:tcPr>
            <w:tcW w:w="4287" w:type="dxa"/>
          </w:tcPr>
          <w:p w:rsidR="00536E8F" w:rsidRPr="008D71B0" w:rsidRDefault="00536E8F" w:rsidP="008D71B0">
            <w:pPr>
              <w:spacing w:before="120" w:after="120"/>
            </w:pPr>
            <w:r>
              <w:t>As the humidity increases, the mean visibility decreases</w:t>
            </w:r>
          </w:p>
        </w:tc>
        <w:tc>
          <w:tcPr>
            <w:tcW w:w="890" w:type="dxa"/>
          </w:tcPr>
          <w:p w:rsidR="00536E8F" w:rsidRDefault="00536E8F" w:rsidP="005B1029">
            <w:pPr>
              <w:spacing w:before="120" w:after="120"/>
              <w:jc w:val="center"/>
            </w:pPr>
            <w:r>
              <w:t>B1</w:t>
            </w:r>
          </w:p>
          <w:p w:rsidR="00536E8F" w:rsidRPr="00B96873" w:rsidRDefault="00536E8F" w:rsidP="005B1029">
            <w:pPr>
              <w:spacing w:before="120" w:after="120"/>
              <w:jc w:val="center"/>
            </w:pPr>
            <w:r>
              <w:t>2.4</w:t>
            </w:r>
          </w:p>
        </w:tc>
        <w:tc>
          <w:tcPr>
            <w:tcW w:w="4173" w:type="dxa"/>
          </w:tcPr>
          <w:p w:rsidR="00536E8F" w:rsidRPr="00E955AF" w:rsidRDefault="00536E8F" w:rsidP="005B1029">
            <w:pPr>
              <w:spacing w:before="120" w:after="120"/>
            </w:pPr>
            <w:r>
              <w:t>This mark is given for a valid interpretation of the correlation</w:t>
            </w:r>
          </w:p>
        </w:tc>
      </w:tr>
      <w:tr w:rsidR="00536E8F" w:rsidRPr="00B96873" w:rsidTr="00B32B93">
        <w:tc>
          <w:tcPr>
            <w:tcW w:w="844" w:type="dxa"/>
          </w:tcPr>
          <w:p w:rsidR="00536E8F" w:rsidRDefault="00536E8F" w:rsidP="00A56532">
            <w:pPr>
              <w:spacing w:before="120" w:after="120"/>
              <w:jc w:val="center"/>
            </w:pPr>
            <w:r>
              <w:t>(d)</w:t>
            </w:r>
          </w:p>
        </w:tc>
        <w:tc>
          <w:tcPr>
            <w:tcW w:w="4287" w:type="dxa"/>
          </w:tcPr>
          <w:p w:rsidR="00536E8F" w:rsidRPr="008D71B0" w:rsidRDefault="00536E8F" w:rsidP="008D71B0">
            <w:pPr>
              <w:spacing w:before="120" w:after="120"/>
            </w:pPr>
            <w:r>
              <w:t>Hours of sunshine</w:t>
            </w:r>
          </w:p>
        </w:tc>
        <w:tc>
          <w:tcPr>
            <w:tcW w:w="890" w:type="dxa"/>
          </w:tcPr>
          <w:p w:rsidR="00536E8F" w:rsidRDefault="00536E8F" w:rsidP="005B1029">
            <w:pPr>
              <w:spacing w:before="120" w:after="120"/>
              <w:jc w:val="center"/>
            </w:pPr>
            <w:r>
              <w:t>B1</w:t>
            </w:r>
          </w:p>
          <w:p w:rsidR="00536E8F" w:rsidRPr="00B96873" w:rsidRDefault="00536E8F" w:rsidP="005B1029">
            <w:pPr>
              <w:spacing w:before="120" w:after="120"/>
              <w:jc w:val="center"/>
            </w:pPr>
            <w:r>
              <w:t>2.2b</w:t>
            </w:r>
          </w:p>
        </w:tc>
        <w:tc>
          <w:tcPr>
            <w:tcW w:w="4173" w:type="dxa"/>
          </w:tcPr>
          <w:p w:rsidR="00536E8F" w:rsidRPr="005E15BE" w:rsidRDefault="00536E8F" w:rsidP="0072618B">
            <w:pPr>
              <w:spacing w:before="120" w:after="120"/>
            </w:pPr>
            <w:r>
              <w:t>This mark is given for a</w:t>
            </w:r>
            <w:r w:rsidRPr="0072618B">
              <w:t xml:space="preserve"> correct deduction that the unlabelled variable is the hours of sunshine </w:t>
            </w:r>
          </w:p>
        </w:tc>
      </w:tr>
    </w:tbl>
    <w:p w:rsidR="00536E8F" w:rsidRPr="00B96873" w:rsidRDefault="00536E8F" w:rsidP="00B92772"/>
    <w:p w:rsidR="00536E8F" w:rsidRPr="00B96873" w:rsidRDefault="00536E8F" w:rsidP="00B92772">
      <w:pPr>
        <w:rPr>
          <w:b/>
        </w:rPr>
      </w:pPr>
    </w:p>
    <w:p w:rsidR="00536E8F" w:rsidRPr="000830B2" w:rsidRDefault="00536E8F"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536E8F" w:rsidRPr="00B96873" w:rsidTr="00A56532">
        <w:tc>
          <w:tcPr>
            <w:tcW w:w="851" w:type="dxa"/>
            <w:shd w:val="clear" w:color="auto" w:fill="C0C0C0"/>
          </w:tcPr>
          <w:p w:rsidR="00536E8F" w:rsidRPr="00B96873" w:rsidRDefault="00536E8F" w:rsidP="00A56532">
            <w:pPr>
              <w:rPr>
                <w:b/>
              </w:rPr>
            </w:pPr>
            <w:r w:rsidRPr="00B96873">
              <w:rPr>
                <w:b/>
              </w:rPr>
              <w:t>Part</w:t>
            </w:r>
          </w:p>
        </w:tc>
        <w:tc>
          <w:tcPr>
            <w:tcW w:w="4403" w:type="dxa"/>
            <w:shd w:val="clear" w:color="auto" w:fill="C0C0C0"/>
          </w:tcPr>
          <w:p w:rsidR="00536E8F" w:rsidRPr="00B96873" w:rsidRDefault="00536E8F" w:rsidP="00A56532">
            <w:pPr>
              <w:rPr>
                <w:b/>
              </w:rPr>
            </w:pPr>
            <w:r w:rsidRPr="00B96873">
              <w:rPr>
                <w:b/>
              </w:rPr>
              <w:t>Working or answer an examiner might expect to see</w:t>
            </w:r>
          </w:p>
        </w:tc>
        <w:tc>
          <w:tcPr>
            <w:tcW w:w="893" w:type="dxa"/>
            <w:shd w:val="clear" w:color="auto" w:fill="C0C0C0"/>
          </w:tcPr>
          <w:p w:rsidR="00536E8F" w:rsidRPr="00B96873" w:rsidRDefault="00536E8F" w:rsidP="00A56532">
            <w:pPr>
              <w:rPr>
                <w:b/>
              </w:rPr>
            </w:pPr>
            <w:r w:rsidRPr="00B96873">
              <w:rPr>
                <w:b/>
              </w:rPr>
              <w:t>Mark</w:t>
            </w:r>
          </w:p>
        </w:tc>
        <w:tc>
          <w:tcPr>
            <w:tcW w:w="4273" w:type="dxa"/>
            <w:shd w:val="clear" w:color="auto" w:fill="C0C0C0"/>
          </w:tcPr>
          <w:p w:rsidR="00536E8F" w:rsidRPr="00B96873" w:rsidRDefault="00536E8F" w:rsidP="00A56532">
            <w:pPr>
              <w:rPr>
                <w:b/>
              </w:rPr>
            </w:pPr>
            <w:r w:rsidRPr="00B96873">
              <w:rPr>
                <w:b/>
              </w:rPr>
              <w:t>Notes</w:t>
            </w:r>
          </w:p>
        </w:tc>
      </w:tr>
      <w:tr w:rsidR="00536E8F" w:rsidRPr="00B96873" w:rsidTr="00964994">
        <w:tc>
          <w:tcPr>
            <w:tcW w:w="851" w:type="dxa"/>
            <w:vMerge w:val="restart"/>
          </w:tcPr>
          <w:p w:rsidR="00536E8F" w:rsidRPr="00B96873" w:rsidRDefault="00536E8F" w:rsidP="00A56532">
            <w:pPr>
              <w:spacing w:before="120" w:after="120"/>
              <w:jc w:val="center"/>
            </w:pPr>
          </w:p>
        </w:tc>
        <w:tc>
          <w:tcPr>
            <w:tcW w:w="4403" w:type="dxa"/>
            <w:vMerge w:val="restart"/>
          </w:tcPr>
          <w:p w:rsidR="00536E8F" w:rsidRPr="002157E4" w:rsidRDefault="00536E8F" w:rsidP="00E955AF">
            <w:pPr>
              <w:spacing w:before="120" w:after="120"/>
            </w:pPr>
            <w:r>
              <w:rPr>
                <w:i/>
              </w:rPr>
              <w:t>a</w:t>
            </w:r>
            <w:r>
              <w:t xml:space="preserve"> + </w:t>
            </w:r>
            <w:r>
              <w:rPr>
                <w:i/>
              </w:rPr>
              <w:t>b</w:t>
            </w:r>
            <w:r>
              <w:t xml:space="preserve"> = 2</w:t>
            </w:r>
            <w:r>
              <w:rPr>
                <w:i/>
              </w:rPr>
              <w:t>c</w:t>
            </w:r>
            <w:r>
              <w:t xml:space="preserve"> + 0.5</w:t>
            </w:r>
          </w:p>
        </w:tc>
        <w:tc>
          <w:tcPr>
            <w:tcW w:w="893" w:type="dxa"/>
          </w:tcPr>
          <w:p w:rsidR="00536E8F" w:rsidRDefault="00536E8F" w:rsidP="00A56532">
            <w:pPr>
              <w:spacing w:before="120" w:after="120"/>
              <w:jc w:val="center"/>
            </w:pPr>
            <w:r>
              <w:t>M1</w:t>
            </w:r>
          </w:p>
          <w:p w:rsidR="00536E8F" w:rsidRPr="00B96873" w:rsidRDefault="00536E8F" w:rsidP="00A56532">
            <w:pPr>
              <w:spacing w:before="120" w:after="120"/>
              <w:jc w:val="center"/>
            </w:pPr>
            <w:r>
              <w:t>2.1</w:t>
            </w:r>
          </w:p>
        </w:tc>
        <w:tc>
          <w:tcPr>
            <w:tcW w:w="4273" w:type="dxa"/>
          </w:tcPr>
          <w:p w:rsidR="00536E8F" w:rsidRDefault="00536E8F" w:rsidP="00B51689">
            <w:pPr>
              <w:spacing w:before="120" w:after="120"/>
            </w:pPr>
            <w:r>
              <w:t>This mark is given for a method to f</w:t>
            </w:r>
            <w:r w:rsidRPr="006B2315">
              <w:t>orm a</w:t>
            </w:r>
            <w:r>
              <w:t>n</w:t>
            </w:r>
            <w:r w:rsidRPr="006B2315">
              <w:t xml:space="preserve"> equatio</w:t>
            </w:r>
            <w:r>
              <w:t>n from the information given</w:t>
            </w:r>
          </w:p>
        </w:tc>
      </w:tr>
      <w:tr w:rsidR="00536E8F" w:rsidRPr="00B96873" w:rsidTr="00A82B1F">
        <w:tc>
          <w:tcPr>
            <w:tcW w:w="851" w:type="dxa"/>
            <w:vMerge/>
          </w:tcPr>
          <w:p w:rsidR="00536E8F" w:rsidRDefault="00536E8F" w:rsidP="00A56532">
            <w:pPr>
              <w:spacing w:before="120" w:after="120"/>
              <w:jc w:val="center"/>
            </w:pPr>
          </w:p>
        </w:tc>
        <w:tc>
          <w:tcPr>
            <w:tcW w:w="4403" w:type="dxa"/>
            <w:vMerge/>
          </w:tcPr>
          <w:p w:rsidR="00536E8F" w:rsidRPr="006B2315" w:rsidRDefault="00536E8F" w:rsidP="00E955AF">
            <w:pPr>
              <w:spacing w:before="120" w:after="120"/>
            </w:pPr>
          </w:p>
        </w:tc>
        <w:tc>
          <w:tcPr>
            <w:tcW w:w="893" w:type="dxa"/>
          </w:tcPr>
          <w:p w:rsidR="00536E8F" w:rsidRDefault="00536E8F" w:rsidP="00A56532">
            <w:pPr>
              <w:spacing w:before="120" w:after="120"/>
              <w:jc w:val="center"/>
            </w:pPr>
            <w:r>
              <w:t>B1</w:t>
            </w:r>
          </w:p>
          <w:p w:rsidR="00536E8F" w:rsidRPr="00B96873" w:rsidRDefault="00536E8F" w:rsidP="00A56532">
            <w:pPr>
              <w:spacing w:before="120" w:after="120"/>
              <w:jc w:val="center"/>
            </w:pPr>
            <w:r>
              <w:t>2.2a</w:t>
            </w:r>
          </w:p>
        </w:tc>
        <w:tc>
          <w:tcPr>
            <w:tcW w:w="4273" w:type="dxa"/>
          </w:tcPr>
          <w:p w:rsidR="00536E8F" w:rsidRDefault="00536E8F" w:rsidP="00B51689">
            <w:pPr>
              <w:spacing w:before="120" w:after="120"/>
            </w:pPr>
            <w:r>
              <w:t xml:space="preserve">This mark is given for a correct </w:t>
            </w:r>
            <w:r w:rsidRPr="006B2315">
              <w:t>equatio</w:t>
            </w:r>
            <w:r>
              <w:t>n</w:t>
            </w:r>
          </w:p>
        </w:tc>
      </w:tr>
      <w:tr w:rsidR="00536E8F" w:rsidRPr="00B96873" w:rsidTr="00A82B1F">
        <w:tc>
          <w:tcPr>
            <w:tcW w:w="851" w:type="dxa"/>
            <w:vMerge/>
          </w:tcPr>
          <w:p w:rsidR="00536E8F" w:rsidRDefault="00536E8F" w:rsidP="00A56532">
            <w:pPr>
              <w:spacing w:before="120" w:after="120"/>
              <w:jc w:val="center"/>
            </w:pPr>
          </w:p>
        </w:tc>
        <w:tc>
          <w:tcPr>
            <w:tcW w:w="4403" w:type="dxa"/>
          </w:tcPr>
          <w:p w:rsidR="00536E8F" w:rsidRPr="002D3C25" w:rsidRDefault="00536E8F" w:rsidP="00E955AF">
            <w:pPr>
              <w:spacing w:before="120" w:after="120"/>
            </w:pPr>
            <w:r>
              <w:rPr>
                <w:i/>
              </w:rPr>
              <w:t>a</w:t>
            </w:r>
            <w:r>
              <w:t xml:space="preserve"> + </w:t>
            </w:r>
            <w:r>
              <w:rPr>
                <w:i/>
              </w:rPr>
              <w:t>b</w:t>
            </w:r>
            <w:r>
              <w:t xml:space="preserve"> + </w:t>
            </w:r>
            <w:r>
              <w:rPr>
                <w:i/>
              </w:rPr>
              <w:t>c</w:t>
            </w:r>
            <w:r>
              <w:t xml:space="preserve"> = 0.75</w:t>
            </w:r>
          </w:p>
        </w:tc>
        <w:tc>
          <w:tcPr>
            <w:tcW w:w="893" w:type="dxa"/>
          </w:tcPr>
          <w:p w:rsidR="00536E8F" w:rsidRDefault="00536E8F" w:rsidP="00A56532">
            <w:pPr>
              <w:spacing w:before="120" w:after="120"/>
              <w:jc w:val="center"/>
            </w:pPr>
            <w:r>
              <w:t>B1</w:t>
            </w:r>
          </w:p>
          <w:p w:rsidR="00536E8F" w:rsidRPr="00B96873" w:rsidRDefault="00536E8F" w:rsidP="00A56532">
            <w:pPr>
              <w:spacing w:before="120" w:after="120"/>
              <w:jc w:val="center"/>
            </w:pPr>
            <w:r>
              <w:t>1.1b</w:t>
            </w:r>
          </w:p>
        </w:tc>
        <w:tc>
          <w:tcPr>
            <w:tcW w:w="4273" w:type="dxa"/>
          </w:tcPr>
          <w:p w:rsidR="00536E8F" w:rsidRPr="006B2315" w:rsidRDefault="00536E8F" w:rsidP="006B2315">
            <w:pPr>
              <w:spacing w:before="120" w:after="120"/>
            </w:pPr>
            <w:r>
              <w:t>This mark is given for a</w:t>
            </w:r>
            <w:r w:rsidRPr="006B2315">
              <w:t xml:space="preserve"> correct equation using </w:t>
            </w:r>
            <w:r>
              <w:sym w:font="Symbol" w:char="F0E5"/>
            </w:r>
            <w:r>
              <w:rPr>
                <w:i/>
              </w:rPr>
              <w:t>x</w:t>
            </w:r>
            <w:r>
              <w:t xml:space="preserve"> = 1</w:t>
            </w:r>
          </w:p>
        </w:tc>
      </w:tr>
      <w:tr w:rsidR="00536E8F" w:rsidRPr="00B96873" w:rsidTr="00A82B1F">
        <w:tc>
          <w:tcPr>
            <w:tcW w:w="851" w:type="dxa"/>
            <w:vMerge/>
          </w:tcPr>
          <w:p w:rsidR="00536E8F" w:rsidRDefault="00536E8F" w:rsidP="00A56532">
            <w:pPr>
              <w:spacing w:before="120" w:after="120"/>
              <w:jc w:val="center"/>
            </w:pPr>
          </w:p>
        </w:tc>
        <w:tc>
          <w:tcPr>
            <w:tcW w:w="4403" w:type="dxa"/>
          </w:tcPr>
          <w:p w:rsidR="00536E8F" w:rsidRDefault="00536E8F" w:rsidP="00E955AF">
            <w:pPr>
              <w:spacing w:before="120" w:after="120"/>
            </w:pPr>
            <w:r>
              <w:t>3</w:t>
            </w:r>
            <w:r>
              <w:rPr>
                <w:i/>
              </w:rPr>
              <w:t>c</w:t>
            </w:r>
            <w:r>
              <w:t xml:space="preserve"> = 0.25</w:t>
            </w:r>
          </w:p>
          <w:p w:rsidR="00536E8F" w:rsidRPr="006B2315" w:rsidRDefault="00536E8F" w:rsidP="00E955AF">
            <w:pPr>
              <w:spacing w:before="120" w:after="120"/>
            </w:pPr>
            <w:r>
              <w:rPr>
                <w:i/>
              </w:rPr>
              <w:t>c</w:t>
            </w:r>
            <w:r>
              <w:t xml:space="preserve"> = </w:t>
            </w:r>
            <w:r w:rsidRPr="006B2315">
              <w:rPr>
                <w:position w:val="-24"/>
              </w:rPr>
              <w:object w:dxaOrig="320" w:dyaOrig="620">
                <v:shape id="_x0000_i1027" type="#_x0000_t75" style="width:15.75pt;height:30.75pt" o:ole="">
                  <v:imagedata r:id="rId11" o:title=""/>
                </v:shape>
                <o:OLEObject Type="Embed" ProgID="Equation.3" ShapeID="_x0000_i1027" DrawAspect="Content" ObjectID="_1666781041" r:id="rId12"/>
              </w:object>
            </w:r>
          </w:p>
        </w:tc>
        <w:tc>
          <w:tcPr>
            <w:tcW w:w="893" w:type="dxa"/>
          </w:tcPr>
          <w:p w:rsidR="00536E8F" w:rsidRDefault="00536E8F" w:rsidP="00A56532">
            <w:pPr>
              <w:spacing w:before="120" w:after="120"/>
              <w:jc w:val="center"/>
            </w:pPr>
            <w:r>
              <w:t>M1</w:t>
            </w:r>
          </w:p>
          <w:p w:rsidR="00536E8F" w:rsidRPr="00B96873" w:rsidRDefault="00536E8F" w:rsidP="00A56532">
            <w:pPr>
              <w:spacing w:before="120" w:after="120"/>
              <w:jc w:val="center"/>
            </w:pPr>
            <w:r>
              <w:t>1.1b</w:t>
            </w:r>
          </w:p>
        </w:tc>
        <w:tc>
          <w:tcPr>
            <w:tcW w:w="4273" w:type="dxa"/>
          </w:tcPr>
          <w:p w:rsidR="00536E8F" w:rsidRPr="006B2315" w:rsidRDefault="00536E8F" w:rsidP="006B2315">
            <w:pPr>
              <w:spacing w:before="120" w:after="120"/>
              <w:rPr>
                <w:i/>
              </w:rPr>
            </w:pPr>
            <w:r>
              <w:t>This mark is given for a</w:t>
            </w:r>
            <w:r w:rsidRPr="006B2315">
              <w:t xml:space="preserve"> method to find </w:t>
            </w:r>
            <w:r>
              <w:rPr>
                <w:i/>
              </w:rPr>
              <w:t>c</w:t>
            </w:r>
          </w:p>
        </w:tc>
      </w:tr>
      <w:tr w:rsidR="00536E8F" w:rsidRPr="00B96873" w:rsidTr="00A82B1F">
        <w:tc>
          <w:tcPr>
            <w:tcW w:w="851" w:type="dxa"/>
            <w:vMerge/>
          </w:tcPr>
          <w:p w:rsidR="00536E8F" w:rsidRDefault="00536E8F" w:rsidP="00A56532">
            <w:pPr>
              <w:spacing w:before="120" w:after="120"/>
              <w:jc w:val="center"/>
            </w:pPr>
          </w:p>
        </w:tc>
        <w:tc>
          <w:tcPr>
            <w:tcW w:w="4403" w:type="dxa"/>
          </w:tcPr>
          <w:p w:rsidR="00536E8F" w:rsidRDefault="00536E8F" w:rsidP="00E955AF">
            <w:pPr>
              <w:spacing w:before="120" w:after="120"/>
            </w:pPr>
            <w:r>
              <w:t>P(scoring 2, 4 or 4, 2 or 3, 3)</w:t>
            </w:r>
          </w:p>
          <w:p w:rsidR="00536E8F" w:rsidRPr="006B2315" w:rsidRDefault="00536E8F" w:rsidP="00E955AF">
            <w:pPr>
              <w:spacing w:before="120" w:after="120"/>
            </w:pPr>
            <w:r>
              <w:t xml:space="preserve">= 2 </w:t>
            </w:r>
            <w:r>
              <w:sym w:font="Symbol" w:char="F0B4"/>
            </w:r>
            <w:r>
              <w:t xml:space="preserve"> </w:t>
            </w:r>
            <w:r w:rsidRPr="006B2315">
              <w:rPr>
                <w:position w:val="-24"/>
              </w:rPr>
              <w:object w:dxaOrig="320" w:dyaOrig="620">
                <v:shape id="_x0000_i1028" type="#_x0000_t75" style="width:15.75pt;height:30.75pt" o:ole="">
                  <v:imagedata r:id="rId13" o:title=""/>
                </v:shape>
                <o:OLEObject Type="Embed" ProgID="Equation.3" ShapeID="_x0000_i1028" DrawAspect="Content" ObjectID="_1666781042" r:id="rId14"/>
              </w:object>
            </w:r>
            <w:r>
              <w:t xml:space="preserve"> </w:t>
            </w:r>
            <w:r>
              <w:sym w:font="Symbol" w:char="F0B4"/>
            </w:r>
            <w:r>
              <w:t xml:space="preserve"> 0.15 + 0.1</w:t>
            </w:r>
            <w:r>
              <w:rPr>
                <w:vertAlign w:val="superscript"/>
              </w:rPr>
              <w:t>2</w:t>
            </w:r>
          </w:p>
        </w:tc>
        <w:tc>
          <w:tcPr>
            <w:tcW w:w="893" w:type="dxa"/>
          </w:tcPr>
          <w:p w:rsidR="00536E8F" w:rsidRDefault="00536E8F" w:rsidP="00A56532">
            <w:pPr>
              <w:spacing w:before="120" w:after="120"/>
              <w:jc w:val="center"/>
            </w:pPr>
            <w:r>
              <w:t>M1</w:t>
            </w:r>
          </w:p>
          <w:p w:rsidR="00536E8F" w:rsidRPr="00B96873" w:rsidRDefault="00536E8F" w:rsidP="00A56532">
            <w:pPr>
              <w:spacing w:before="120" w:after="120"/>
              <w:jc w:val="center"/>
            </w:pPr>
            <w:r>
              <w:t>3.1b</w:t>
            </w:r>
          </w:p>
        </w:tc>
        <w:tc>
          <w:tcPr>
            <w:tcW w:w="4273" w:type="dxa"/>
          </w:tcPr>
          <w:p w:rsidR="00536E8F" w:rsidRPr="006B2315" w:rsidRDefault="00536E8F" w:rsidP="006B2315">
            <w:pPr>
              <w:spacing w:before="120" w:after="120"/>
            </w:pPr>
            <w:r>
              <w:t>This mark is given for r</w:t>
            </w:r>
            <w:r w:rsidRPr="006B2315">
              <w:t xml:space="preserve">ecognising the ways to get a total of 6 </w:t>
            </w:r>
          </w:p>
        </w:tc>
      </w:tr>
      <w:tr w:rsidR="00536E8F" w:rsidRPr="00B96873" w:rsidTr="00A82B1F">
        <w:tc>
          <w:tcPr>
            <w:tcW w:w="851" w:type="dxa"/>
            <w:vMerge/>
          </w:tcPr>
          <w:p w:rsidR="00536E8F" w:rsidRDefault="00536E8F" w:rsidP="00A56532">
            <w:pPr>
              <w:spacing w:before="120" w:after="120"/>
              <w:jc w:val="center"/>
            </w:pPr>
          </w:p>
        </w:tc>
        <w:tc>
          <w:tcPr>
            <w:tcW w:w="4403" w:type="dxa"/>
          </w:tcPr>
          <w:p w:rsidR="00536E8F" w:rsidRPr="002157E4" w:rsidRDefault="00536E8F" w:rsidP="00E955AF">
            <w:pPr>
              <w:spacing w:before="120" w:after="120"/>
            </w:pPr>
            <w:r>
              <w:t>= 0.035</w:t>
            </w:r>
          </w:p>
        </w:tc>
        <w:tc>
          <w:tcPr>
            <w:tcW w:w="893" w:type="dxa"/>
          </w:tcPr>
          <w:p w:rsidR="00536E8F" w:rsidRDefault="00536E8F" w:rsidP="00A56532">
            <w:pPr>
              <w:spacing w:before="120" w:after="120"/>
              <w:jc w:val="center"/>
            </w:pPr>
            <w:r>
              <w:t>A1</w:t>
            </w:r>
          </w:p>
          <w:p w:rsidR="00536E8F" w:rsidRPr="00B96873" w:rsidRDefault="00536E8F" w:rsidP="00A56532">
            <w:pPr>
              <w:spacing w:before="120" w:after="120"/>
              <w:jc w:val="center"/>
            </w:pPr>
            <w:r>
              <w:t>1.1b</w:t>
            </w:r>
          </w:p>
        </w:tc>
        <w:tc>
          <w:tcPr>
            <w:tcW w:w="4273" w:type="dxa"/>
          </w:tcPr>
          <w:p w:rsidR="00536E8F" w:rsidRDefault="00536E8F" w:rsidP="0020383E">
            <w:pPr>
              <w:spacing w:before="120" w:after="120"/>
            </w:pPr>
            <w:r>
              <w:t>This mark is given for the correct answer only</w:t>
            </w:r>
          </w:p>
        </w:tc>
      </w:tr>
    </w:tbl>
    <w:p w:rsidR="00536E8F" w:rsidRPr="00B96873" w:rsidRDefault="00536E8F" w:rsidP="009D225A"/>
    <w:p w:rsidR="00536E8F" w:rsidRPr="00B92772" w:rsidRDefault="00536E8F" w:rsidP="00B92772"/>
    <w:p w:rsidR="00536E8F" w:rsidRPr="000830B2" w:rsidRDefault="00536E8F"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536E8F" w:rsidRPr="00B96873" w:rsidTr="00A56532">
        <w:tc>
          <w:tcPr>
            <w:tcW w:w="851" w:type="dxa"/>
            <w:shd w:val="clear" w:color="auto" w:fill="C0C0C0"/>
          </w:tcPr>
          <w:p w:rsidR="00536E8F" w:rsidRPr="00B96873" w:rsidRDefault="00536E8F" w:rsidP="00A56532">
            <w:pPr>
              <w:rPr>
                <w:b/>
              </w:rPr>
            </w:pPr>
            <w:r w:rsidRPr="00B96873">
              <w:rPr>
                <w:b/>
              </w:rPr>
              <w:t>Part</w:t>
            </w:r>
          </w:p>
        </w:tc>
        <w:tc>
          <w:tcPr>
            <w:tcW w:w="4403" w:type="dxa"/>
            <w:shd w:val="clear" w:color="auto" w:fill="C0C0C0"/>
          </w:tcPr>
          <w:p w:rsidR="00536E8F" w:rsidRPr="00B96873" w:rsidRDefault="00536E8F" w:rsidP="00A56532">
            <w:pPr>
              <w:rPr>
                <w:b/>
              </w:rPr>
            </w:pPr>
            <w:r w:rsidRPr="00B96873">
              <w:rPr>
                <w:b/>
              </w:rPr>
              <w:t>Working or answer an examiner might expect to see</w:t>
            </w:r>
          </w:p>
        </w:tc>
        <w:tc>
          <w:tcPr>
            <w:tcW w:w="893" w:type="dxa"/>
            <w:shd w:val="clear" w:color="auto" w:fill="C0C0C0"/>
          </w:tcPr>
          <w:p w:rsidR="00536E8F" w:rsidRPr="00B96873" w:rsidRDefault="00536E8F" w:rsidP="00A56532">
            <w:pPr>
              <w:rPr>
                <w:b/>
              </w:rPr>
            </w:pPr>
            <w:r w:rsidRPr="00B96873">
              <w:rPr>
                <w:b/>
              </w:rPr>
              <w:t>Mark</w:t>
            </w:r>
          </w:p>
        </w:tc>
        <w:tc>
          <w:tcPr>
            <w:tcW w:w="4273" w:type="dxa"/>
            <w:shd w:val="clear" w:color="auto" w:fill="C0C0C0"/>
          </w:tcPr>
          <w:p w:rsidR="00536E8F" w:rsidRPr="00B96873" w:rsidRDefault="00536E8F" w:rsidP="00A56532">
            <w:pPr>
              <w:rPr>
                <w:b/>
              </w:rPr>
            </w:pPr>
            <w:r w:rsidRPr="00B96873">
              <w:rPr>
                <w:b/>
              </w:rPr>
              <w:t>Notes</w:t>
            </w:r>
          </w:p>
        </w:tc>
      </w:tr>
      <w:tr w:rsidR="00536E8F" w:rsidRPr="00B96873" w:rsidTr="006F4083">
        <w:trPr>
          <w:trHeight w:val="58"/>
        </w:trPr>
        <w:tc>
          <w:tcPr>
            <w:tcW w:w="851" w:type="dxa"/>
          </w:tcPr>
          <w:p w:rsidR="00536E8F" w:rsidRDefault="00536E8F" w:rsidP="00A56532">
            <w:pPr>
              <w:spacing w:before="120" w:after="120"/>
              <w:jc w:val="center"/>
            </w:pPr>
            <w:r>
              <w:t>(a)</w:t>
            </w:r>
          </w:p>
        </w:tc>
        <w:tc>
          <w:tcPr>
            <w:tcW w:w="4403" w:type="dxa"/>
          </w:tcPr>
          <w:p w:rsidR="00536E8F" w:rsidRPr="00C01B60" w:rsidRDefault="00536E8F" w:rsidP="00BF5FA1">
            <w:pPr>
              <w:spacing w:before="120" w:after="120"/>
            </w:pPr>
            <w:r>
              <w:t>It is not possible to have a sampling frame</w:t>
            </w:r>
          </w:p>
        </w:tc>
        <w:tc>
          <w:tcPr>
            <w:tcW w:w="893" w:type="dxa"/>
          </w:tcPr>
          <w:p w:rsidR="00536E8F" w:rsidRDefault="00536E8F" w:rsidP="00A56532">
            <w:pPr>
              <w:spacing w:before="120" w:after="120"/>
              <w:jc w:val="center"/>
            </w:pPr>
            <w:r>
              <w:t>B1</w:t>
            </w:r>
          </w:p>
          <w:p w:rsidR="00536E8F" w:rsidRPr="00B96873" w:rsidRDefault="00536E8F" w:rsidP="00A56532">
            <w:pPr>
              <w:spacing w:before="120" w:after="120"/>
              <w:jc w:val="center"/>
            </w:pPr>
            <w:r>
              <w:t>2.3</w:t>
            </w:r>
          </w:p>
        </w:tc>
        <w:tc>
          <w:tcPr>
            <w:tcW w:w="4273" w:type="dxa"/>
          </w:tcPr>
          <w:p w:rsidR="00536E8F" w:rsidRPr="006F4083" w:rsidRDefault="00536E8F" w:rsidP="00A56532">
            <w:pPr>
              <w:spacing w:before="120" w:after="120"/>
            </w:pPr>
            <w:r>
              <w:t>This mark is given for a correct reason stated</w:t>
            </w:r>
          </w:p>
        </w:tc>
      </w:tr>
      <w:tr w:rsidR="00536E8F" w:rsidRPr="00B96873" w:rsidTr="006F4083">
        <w:trPr>
          <w:trHeight w:val="58"/>
        </w:trPr>
        <w:tc>
          <w:tcPr>
            <w:tcW w:w="851" w:type="dxa"/>
            <w:vMerge w:val="restart"/>
          </w:tcPr>
          <w:p w:rsidR="00536E8F" w:rsidRDefault="00536E8F" w:rsidP="00A56532">
            <w:pPr>
              <w:spacing w:before="120" w:after="120"/>
              <w:jc w:val="center"/>
            </w:pPr>
            <w:r>
              <w:t>(b)</w:t>
            </w:r>
          </w:p>
        </w:tc>
        <w:tc>
          <w:tcPr>
            <w:tcW w:w="4403" w:type="dxa"/>
          </w:tcPr>
          <w:p w:rsidR="00536E8F" w:rsidRDefault="00536E8F" w:rsidP="00BF5FA1">
            <w:pPr>
              <w:spacing w:before="120" w:after="120"/>
            </w:pPr>
            <w:r>
              <w:t>Quota sampling</w:t>
            </w:r>
          </w:p>
          <w:p w:rsidR="00536E8F" w:rsidRPr="004872C7" w:rsidRDefault="00536E8F" w:rsidP="00BF5FA1">
            <w:pPr>
              <w:spacing w:before="120" w:after="120"/>
            </w:pPr>
            <w:r>
              <w:t>Catch 85 common carp, 45 mirror carp and 30 leather carp</w:t>
            </w:r>
          </w:p>
        </w:tc>
        <w:tc>
          <w:tcPr>
            <w:tcW w:w="893" w:type="dxa"/>
          </w:tcPr>
          <w:p w:rsidR="00536E8F" w:rsidRDefault="00536E8F" w:rsidP="00A56532">
            <w:pPr>
              <w:spacing w:before="120" w:after="120"/>
              <w:jc w:val="center"/>
            </w:pPr>
            <w:r>
              <w:t>M1</w:t>
            </w:r>
          </w:p>
          <w:p w:rsidR="00536E8F" w:rsidRPr="00B96873" w:rsidRDefault="00536E8F" w:rsidP="00A56532">
            <w:pPr>
              <w:spacing w:before="120" w:after="120"/>
              <w:jc w:val="center"/>
            </w:pPr>
            <w:r>
              <w:t>1.1a</w:t>
            </w:r>
          </w:p>
        </w:tc>
        <w:tc>
          <w:tcPr>
            <w:tcW w:w="4273" w:type="dxa"/>
          </w:tcPr>
          <w:p w:rsidR="00536E8F" w:rsidRPr="004872C7" w:rsidRDefault="00536E8F" w:rsidP="00A56532">
            <w:pPr>
              <w:spacing w:before="120" w:after="120"/>
            </w:pPr>
            <w:r>
              <w:t xml:space="preserve">This mark is given for a correct description and method of sampling </w:t>
            </w:r>
          </w:p>
        </w:tc>
      </w:tr>
      <w:tr w:rsidR="00536E8F" w:rsidRPr="00B96873" w:rsidTr="006F4083">
        <w:trPr>
          <w:trHeight w:val="58"/>
        </w:trPr>
        <w:tc>
          <w:tcPr>
            <w:tcW w:w="851" w:type="dxa"/>
            <w:vMerge/>
          </w:tcPr>
          <w:p w:rsidR="00536E8F" w:rsidRDefault="00536E8F" w:rsidP="00A56532">
            <w:pPr>
              <w:spacing w:before="120" w:after="120"/>
              <w:jc w:val="center"/>
            </w:pPr>
          </w:p>
        </w:tc>
        <w:tc>
          <w:tcPr>
            <w:tcW w:w="4403" w:type="dxa"/>
          </w:tcPr>
          <w:p w:rsidR="00536E8F" w:rsidRPr="006821C1" w:rsidRDefault="00536E8F" w:rsidP="00BF5FA1">
            <w:pPr>
              <w:spacing w:before="120" w:after="120"/>
            </w:pPr>
            <w:r>
              <w:t>Ignore any fish caught of a type where the quota is full</w:t>
            </w:r>
          </w:p>
        </w:tc>
        <w:tc>
          <w:tcPr>
            <w:tcW w:w="893" w:type="dxa"/>
          </w:tcPr>
          <w:p w:rsidR="00536E8F" w:rsidRDefault="00536E8F" w:rsidP="00A56532">
            <w:pPr>
              <w:spacing w:before="120" w:after="120"/>
              <w:jc w:val="center"/>
            </w:pPr>
            <w:r>
              <w:t>A1</w:t>
            </w:r>
          </w:p>
          <w:p w:rsidR="00536E8F" w:rsidRPr="00B96873" w:rsidRDefault="00536E8F" w:rsidP="00A56532">
            <w:pPr>
              <w:spacing w:before="120" w:after="120"/>
              <w:jc w:val="center"/>
            </w:pPr>
            <w:r>
              <w:t>1.1b</w:t>
            </w:r>
          </w:p>
        </w:tc>
        <w:tc>
          <w:tcPr>
            <w:tcW w:w="4273" w:type="dxa"/>
          </w:tcPr>
          <w:p w:rsidR="00536E8F" w:rsidRPr="00302D55" w:rsidRDefault="00536E8F" w:rsidP="00A56532">
            <w:pPr>
              <w:spacing w:before="120" w:after="120"/>
            </w:pPr>
            <w:r>
              <w:t>This mark is given for a full explanation including fish to ignore</w:t>
            </w:r>
          </w:p>
        </w:tc>
      </w:tr>
      <w:tr w:rsidR="00536E8F" w:rsidRPr="00B96873" w:rsidTr="006F4083">
        <w:trPr>
          <w:trHeight w:val="58"/>
        </w:trPr>
        <w:tc>
          <w:tcPr>
            <w:tcW w:w="851" w:type="dxa"/>
            <w:vMerge w:val="restart"/>
          </w:tcPr>
          <w:p w:rsidR="00536E8F" w:rsidRDefault="00536E8F" w:rsidP="00A56532">
            <w:pPr>
              <w:spacing w:before="120" w:after="120"/>
              <w:jc w:val="center"/>
            </w:pPr>
            <w:r>
              <w:t>(c)</w:t>
            </w:r>
          </w:p>
        </w:tc>
        <w:tc>
          <w:tcPr>
            <w:tcW w:w="4403" w:type="dxa"/>
          </w:tcPr>
          <w:p w:rsidR="00536E8F" w:rsidRPr="006821C1" w:rsidRDefault="00536E8F" w:rsidP="00BF5FA1">
            <w:pPr>
              <w:spacing w:before="120" w:after="120"/>
            </w:pPr>
            <w:r w:rsidRPr="006F4083">
              <w:rPr>
                <w:i/>
              </w:rPr>
              <w:sym w:font="Symbol" w:char="F073"/>
            </w:r>
            <w:r>
              <w:t xml:space="preserve"> = </w:t>
            </w:r>
            <w:r w:rsidRPr="006F4083">
              <w:rPr>
                <w:position w:val="-30"/>
              </w:rPr>
              <w:object w:dxaOrig="1719" w:dyaOrig="800">
                <v:shape id="_x0000_i1029" type="#_x0000_t75" style="width:86.25pt;height:39.75pt" o:ole="">
                  <v:imagedata r:id="rId15" o:title=""/>
                </v:shape>
                <o:OLEObject Type="Embed" ProgID="Equation.3" ShapeID="_x0000_i1029" DrawAspect="Content" ObjectID="_1666781043" r:id="rId16"/>
              </w:object>
            </w:r>
          </w:p>
        </w:tc>
        <w:tc>
          <w:tcPr>
            <w:tcW w:w="893" w:type="dxa"/>
          </w:tcPr>
          <w:p w:rsidR="00536E8F" w:rsidRDefault="00536E8F" w:rsidP="00A56532">
            <w:pPr>
              <w:spacing w:before="120" w:after="120"/>
              <w:jc w:val="center"/>
            </w:pPr>
            <w:r>
              <w:t>M1</w:t>
            </w:r>
          </w:p>
          <w:p w:rsidR="00536E8F" w:rsidRPr="00B96873" w:rsidRDefault="00536E8F" w:rsidP="00A56532">
            <w:pPr>
              <w:spacing w:before="120" w:after="120"/>
              <w:jc w:val="center"/>
            </w:pPr>
            <w:r>
              <w:t>1.1b</w:t>
            </w:r>
          </w:p>
        </w:tc>
        <w:tc>
          <w:tcPr>
            <w:tcW w:w="4273" w:type="dxa"/>
          </w:tcPr>
          <w:p w:rsidR="00536E8F" w:rsidRPr="00302D55" w:rsidRDefault="00536E8F" w:rsidP="00A56532">
            <w:pPr>
              <w:spacing w:before="120" w:after="120"/>
            </w:pPr>
            <w:r>
              <w:t>This mark is given for a method to find an estimate for the standard deviation</w:t>
            </w:r>
          </w:p>
        </w:tc>
      </w:tr>
      <w:tr w:rsidR="00536E8F" w:rsidRPr="00B96873" w:rsidTr="006F4083">
        <w:trPr>
          <w:trHeight w:val="58"/>
        </w:trPr>
        <w:tc>
          <w:tcPr>
            <w:tcW w:w="851" w:type="dxa"/>
            <w:vMerge/>
          </w:tcPr>
          <w:p w:rsidR="00536E8F" w:rsidRDefault="00536E8F" w:rsidP="00A56532">
            <w:pPr>
              <w:spacing w:before="120" w:after="120"/>
              <w:jc w:val="center"/>
            </w:pPr>
          </w:p>
        </w:tc>
        <w:tc>
          <w:tcPr>
            <w:tcW w:w="4403" w:type="dxa"/>
          </w:tcPr>
          <w:p w:rsidR="00536E8F" w:rsidRPr="00C01B60" w:rsidRDefault="00536E8F" w:rsidP="00BF5FA1">
            <w:pPr>
              <w:spacing w:before="120" w:after="120"/>
            </w:pPr>
            <w:r>
              <w:t xml:space="preserve">   = 0.613</w:t>
            </w:r>
          </w:p>
        </w:tc>
        <w:tc>
          <w:tcPr>
            <w:tcW w:w="893" w:type="dxa"/>
          </w:tcPr>
          <w:p w:rsidR="00536E8F" w:rsidRDefault="00536E8F" w:rsidP="00A56532">
            <w:pPr>
              <w:spacing w:before="120" w:after="120"/>
              <w:jc w:val="center"/>
            </w:pPr>
            <w:r>
              <w:t>A1</w:t>
            </w:r>
          </w:p>
          <w:p w:rsidR="00536E8F" w:rsidRPr="00B96873" w:rsidRDefault="00536E8F" w:rsidP="00A56532">
            <w:pPr>
              <w:spacing w:before="120" w:after="120"/>
              <w:jc w:val="center"/>
            </w:pPr>
            <w:r>
              <w:t>1.1b</w:t>
            </w:r>
          </w:p>
        </w:tc>
        <w:tc>
          <w:tcPr>
            <w:tcW w:w="4273" w:type="dxa"/>
          </w:tcPr>
          <w:p w:rsidR="00536E8F" w:rsidRDefault="00536E8F" w:rsidP="0020383E">
            <w:pPr>
              <w:spacing w:before="120" w:after="120"/>
            </w:pPr>
            <w:r>
              <w:t>This mark is given for a correct answer only</w:t>
            </w:r>
          </w:p>
        </w:tc>
      </w:tr>
      <w:tr w:rsidR="00536E8F" w:rsidRPr="00B96873" w:rsidTr="006F4083">
        <w:trPr>
          <w:trHeight w:val="58"/>
        </w:trPr>
        <w:tc>
          <w:tcPr>
            <w:tcW w:w="851" w:type="dxa"/>
          </w:tcPr>
          <w:p w:rsidR="00536E8F" w:rsidRDefault="00536E8F" w:rsidP="00A56532">
            <w:pPr>
              <w:spacing w:before="120" w:after="120"/>
              <w:jc w:val="center"/>
            </w:pPr>
            <w:r>
              <w:t>(d)(i)</w:t>
            </w:r>
          </w:p>
        </w:tc>
        <w:tc>
          <w:tcPr>
            <w:tcW w:w="4403" w:type="dxa"/>
          </w:tcPr>
          <w:p w:rsidR="00536E8F" w:rsidRPr="006F4083" w:rsidRDefault="00536E8F" w:rsidP="006F4083">
            <w:pPr>
              <w:spacing w:before="120" w:after="120"/>
            </w:pPr>
            <w:r w:rsidRPr="006F4083">
              <w:t xml:space="preserve">This would have no effect </w:t>
            </w:r>
            <w:r>
              <w:t>because</w:t>
            </w:r>
            <w:r w:rsidRPr="006F4083">
              <w:t xml:space="preserve"> the piece of data would remain in the same class </w:t>
            </w:r>
          </w:p>
        </w:tc>
        <w:tc>
          <w:tcPr>
            <w:tcW w:w="893" w:type="dxa"/>
          </w:tcPr>
          <w:p w:rsidR="00536E8F" w:rsidRDefault="00536E8F" w:rsidP="00A56532">
            <w:pPr>
              <w:spacing w:before="120" w:after="120"/>
              <w:jc w:val="center"/>
            </w:pPr>
            <w:r>
              <w:t>B1</w:t>
            </w:r>
          </w:p>
          <w:p w:rsidR="00536E8F" w:rsidRPr="00B96873" w:rsidRDefault="00536E8F" w:rsidP="00A56532">
            <w:pPr>
              <w:spacing w:before="120" w:after="120"/>
              <w:jc w:val="center"/>
            </w:pPr>
            <w:r>
              <w:t>2.2a</w:t>
            </w:r>
          </w:p>
        </w:tc>
        <w:tc>
          <w:tcPr>
            <w:tcW w:w="4273" w:type="dxa"/>
          </w:tcPr>
          <w:p w:rsidR="00536E8F" w:rsidRPr="006F4083" w:rsidRDefault="00536E8F" w:rsidP="00B51689">
            <w:pPr>
              <w:spacing w:before="120" w:after="120"/>
            </w:pPr>
            <w:r>
              <w:t>This mark is given for a correct reason stated</w:t>
            </w:r>
          </w:p>
        </w:tc>
      </w:tr>
      <w:tr w:rsidR="00536E8F" w:rsidRPr="00B96873" w:rsidTr="006F4083">
        <w:trPr>
          <w:trHeight w:val="58"/>
        </w:trPr>
        <w:tc>
          <w:tcPr>
            <w:tcW w:w="851" w:type="dxa"/>
          </w:tcPr>
          <w:p w:rsidR="00536E8F" w:rsidRDefault="00536E8F" w:rsidP="00A56532">
            <w:pPr>
              <w:spacing w:before="120" w:after="120"/>
              <w:jc w:val="center"/>
            </w:pPr>
            <w:r>
              <w:t>(d)(ii)</w:t>
            </w:r>
          </w:p>
        </w:tc>
        <w:tc>
          <w:tcPr>
            <w:tcW w:w="4403" w:type="dxa"/>
          </w:tcPr>
          <w:p w:rsidR="00536E8F" w:rsidRPr="006F4083" w:rsidRDefault="00536E8F" w:rsidP="006F4083">
            <w:pPr>
              <w:spacing w:before="120" w:after="120"/>
            </w:pPr>
            <w:r w:rsidRPr="006F4083">
              <w:t xml:space="preserve">This would increase the standard deviation </w:t>
            </w:r>
            <w:r>
              <w:t>because a</w:t>
            </w:r>
            <w:r w:rsidRPr="006F4083">
              <w:t xml:space="preserve"> change in </w:t>
            </w:r>
            <w:r>
              <w:t xml:space="preserve">the </w:t>
            </w:r>
            <w:r w:rsidRPr="006F4083">
              <w:t xml:space="preserve">mean is small and </w:t>
            </w:r>
            <w:r>
              <w:t>6.4 – 4.6 = 3</w:t>
            </w:r>
            <w:r w:rsidRPr="006F4083">
              <w:rPr>
                <w:i/>
              </w:rPr>
              <w:sym w:font="Symbol" w:char="F073"/>
            </w:r>
          </w:p>
        </w:tc>
        <w:tc>
          <w:tcPr>
            <w:tcW w:w="893" w:type="dxa"/>
          </w:tcPr>
          <w:p w:rsidR="00536E8F" w:rsidRDefault="00536E8F" w:rsidP="00A56532">
            <w:pPr>
              <w:spacing w:before="120" w:after="120"/>
              <w:jc w:val="center"/>
            </w:pPr>
            <w:r>
              <w:t>B1</w:t>
            </w:r>
          </w:p>
          <w:p w:rsidR="00536E8F" w:rsidRPr="00B96873" w:rsidRDefault="00536E8F" w:rsidP="00A56532">
            <w:pPr>
              <w:spacing w:before="120" w:after="120"/>
              <w:jc w:val="center"/>
            </w:pPr>
            <w:r>
              <w:t>2.2a</w:t>
            </w:r>
          </w:p>
        </w:tc>
        <w:tc>
          <w:tcPr>
            <w:tcW w:w="4273" w:type="dxa"/>
          </w:tcPr>
          <w:p w:rsidR="00536E8F" w:rsidRPr="006F4083" w:rsidRDefault="00536E8F" w:rsidP="00B51689">
            <w:pPr>
              <w:spacing w:before="120" w:after="120"/>
            </w:pPr>
            <w:r>
              <w:t>This mark is given for a correct reason stated</w:t>
            </w:r>
          </w:p>
        </w:tc>
      </w:tr>
    </w:tbl>
    <w:p w:rsidR="00536E8F" w:rsidRDefault="00536E8F" w:rsidP="00772230">
      <w:pPr>
        <w:tabs>
          <w:tab w:val="left" w:pos="1944"/>
        </w:tabs>
        <w:rPr>
          <w:b/>
        </w:rPr>
      </w:pPr>
    </w:p>
    <w:p w:rsidR="00536E8F" w:rsidRDefault="00536E8F" w:rsidP="009D225A">
      <w:pPr>
        <w:tabs>
          <w:tab w:val="left" w:pos="1944"/>
        </w:tabs>
        <w:spacing w:line="360" w:lineRule="auto"/>
        <w:rPr>
          <w:b/>
        </w:rPr>
      </w:pPr>
    </w:p>
    <w:p w:rsidR="00536E8F" w:rsidRPr="000830B2" w:rsidRDefault="00536E8F"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536E8F" w:rsidRPr="00B96873" w:rsidTr="00A56532">
        <w:tc>
          <w:tcPr>
            <w:tcW w:w="851" w:type="dxa"/>
            <w:shd w:val="clear" w:color="auto" w:fill="C0C0C0"/>
          </w:tcPr>
          <w:p w:rsidR="00536E8F" w:rsidRPr="00B96873" w:rsidRDefault="00536E8F" w:rsidP="00A56532">
            <w:pPr>
              <w:rPr>
                <w:b/>
              </w:rPr>
            </w:pPr>
            <w:r w:rsidRPr="00B96873">
              <w:rPr>
                <w:b/>
              </w:rPr>
              <w:t>Part</w:t>
            </w:r>
          </w:p>
        </w:tc>
        <w:tc>
          <w:tcPr>
            <w:tcW w:w="4403" w:type="dxa"/>
            <w:shd w:val="clear" w:color="auto" w:fill="C0C0C0"/>
          </w:tcPr>
          <w:p w:rsidR="00536E8F" w:rsidRPr="00B96873" w:rsidRDefault="00536E8F" w:rsidP="00A56532">
            <w:pPr>
              <w:rPr>
                <w:b/>
              </w:rPr>
            </w:pPr>
            <w:r w:rsidRPr="00B96873">
              <w:rPr>
                <w:b/>
              </w:rPr>
              <w:t>Working or answer an examiner might expect to see</w:t>
            </w:r>
          </w:p>
        </w:tc>
        <w:tc>
          <w:tcPr>
            <w:tcW w:w="893" w:type="dxa"/>
            <w:shd w:val="clear" w:color="auto" w:fill="C0C0C0"/>
          </w:tcPr>
          <w:p w:rsidR="00536E8F" w:rsidRPr="00B96873" w:rsidRDefault="00536E8F" w:rsidP="00A56532">
            <w:pPr>
              <w:rPr>
                <w:b/>
              </w:rPr>
            </w:pPr>
            <w:r w:rsidRPr="00B96873">
              <w:rPr>
                <w:b/>
              </w:rPr>
              <w:t>Mark</w:t>
            </w:r>
          </w:p>
        </w:tc>
        <w:tc>
          <w:tcPr>
            <w:tcW w:w="4273" w:type="dxa"/>
            <w:shd w:val="clear" w:color="auto" w:fill="C0C0C0"/>
          </w:tcPr>
          <w:p w:rsidR="00536E8F" w:rsidRPr="00B96873" w:rsidRDefault="00536E8F" w:rsidP="00A56532">
            <w:pPr>
              <w:rPr>
                <w:b/>
              </w:rPr>
            </w:pPr>
            <w:r w:rsidRPr="00B96873">
              <w:rPr>
                <w:b/>
              </w:rPr>
              <w:t>Notes</w:t>
            </w:r>
          </w:p>
        </w:tc>
      </w:tr>
      <w:tr w:rsidR="00536E8F" w:rsidRPr="00B96873" w:rsidTr="00D33B0D">
        <w:trPr>
          <w:trHeight w:val="58"/>
        </w:trPr>
        <w:tc>
          <w:tcPr>
            <w:tcW w:w="851" w:type="dxa"/>
            <w:vMerge w:val="restart"/>
          </w:tcPr>
          <w:p w:rsidR="00536E8F" w:rsidRDefault="00536E8F" w:rsidP="00A56532">
            <w:pPr>
              <w:spacing w:before="120" w:after="120"/>
              <w:jc w:val="center"/>
            </w:pPr>
            <w:r>
              <w:t>(a)</w:t>
            </w:r>
          </w:p>
        </w:tc>
        <w:tc>
          <w:tcPr>
            <w:tcW w:w="4403" w:type="dxa"/>
          </w:tcPr>
          <w:p w:rsidR="00536E8F" w:rsidRDefault="00536E8F" w:rsidP="00234837">
            <w:pPr>
              <w:spacing w:before="120" w:after="120"/>
            </w:pPr>
            <w:r>
              <w:t xml:space="preserve">Let </w:t>
            </w:r>
            <w:r>
              <w:rPr>
                <w:i/>
              </w:rPr>
              <w:t>C</w:t>
            </w:r>
            <w:r>
              <w:t xml:space="preserve"> = the number of successful calls</w:t>
            </w:r>
          </w:p>
          <w:p w:rsidR="00536E8F" w:rsidRPr="00234837" w:rsidRDefault="00536E8F" w:rsidP="00E955AF">
            <w:pPr>
              <w:spacing w:before="120" w:after="120"/>
            </w:pPr>
            <w:r>
              <w:rPr>
                <w:i/>
              </w:rPr>
              <w:t>C</w:t>
            </w:r>
            <w:r>
              <w:t xml:space="preserve"> </w:t>
            </w:r>
            <w:r>
              <w:sym w:font="Symbol" w:char="F07E"/>
            </w:r>
            <w:r>
              <w:t xml:space="preserve"> B </w:t>
            </w:r>
            <w:r w:rsidRPr="00234837">
              <w:rPr>
                <w:position w:val="-28"/>
              </w:rPr>
              <w:object w:dxaOrig="700" w:dyaOrig="680">
                <v:shape id="_x0000_i1030" type="#_x0000_t75" style="width:35.25pt;height:33.75pt" o:ole="">
                  <v:imagedata r:id="rId17" o:title=""/>
                </v:shape>
                <o:OLEObject Type="Embed" ProgID="Equation.3" ShapeID="_x0000_i1030" DrawAspect="Content" ObjectID="_1666781044" r:id="rId18"/>
              </w:object>
            </w:r>
          </w:p>
        </w:tc>
        <w:tc>
          <w:tcPr>
            <w:tcW w:w="893" w:type="dxa"/>
          </w:tcPr>
          <w:p w:rsidR="00536E8F" w:rsidRDefault="00536E8F" w:rsidP="00A56532">
            <w:pPr>
              <w:spacing w:before="120" w:after="120"/>
              <w:jc w:val="center"/>
            </w:pPr>
            <w:r>
              <w:t>M1</w:t>
            </w:r>
          </w:p>
          <w:p w:rsidR="00536E8F" w:rsidRPr="00B96873" w:rsidRDefault="00536E8F" w:rsidP="00A56532">
            <w:pPr>
              <w:spacing w:before="120" w:after="120"/>
              <w:jc w:val="center"/>
            </w:pPr>
            <w:r>
              <w:t>3.3</w:t>
            </w:r>
          </w:p>
        </w:tc>
        <w:tc>
          <w:tcPr>
            <w:tcW w:w="4273" w:type="dxa"/>
          </w:tcPr>
          <w:p w:rsidR="00536E8F" w:rsidRDefault="00536E8F" w:rsidP="0020383E">
            <w:pPr>
              <w:spacing w:before="120" w:after="120"/>
            </w:pPr>
            <w:r>
              <w:t>This mark is given for selecting a correct model</w:t>
            </w:r>
          </w:p>
        </w:tc>
      </w:tr>
      <w:tr w:rsidR="00536E8F" w:rsidRPr="00B96873" w:rsidTr="00D33B0D">
        <w:trPr>
          <w:trHeight w:val="58"/>
        </w:trPr>
        <w:tc>
          <w:tcPr>
            <w:tcW w:w="851" w:type="dxa"/>
            <w:vMerge/>
          </w:tcPr>
          <w:p w:rsidR="00536E8F" w:rsidRPr="00B96873" w:rsidRDefault="00536E8F" w:rsidP="00A56532">
            <w:pPr>
              <w:spacing w:before="120" w:after="120"/>
              <w:jc w:val="center"/>
            </w:pPr>
          </w:p>
        </w:tc>
        <w:tc>
          <w:tcPr>
            <w:tcW w:w="4403" w:type="dxa"/>
          </w:tcPr>
          <w:p w:rsidR="00536E8F" w:rsidRPr="00234837" w:rsidRDefault="00536E8F" w:rsidP="00E955AF">
            <w:pPr>
              <w:spacing w:before="120" w:after="120"/>
            </w:pPr>
            <w:r>
              <w:t>P(</w:t>
            </w:r>
            <w:r>
              <w:rPr>
                <w:i/>
              </w:rPr>
              <w:t>C</w:t>
            </w:r>
            <w:r>
              <w:t xml:space="preserve"> </w:t>
            </w:r>
            <w:r>
              <w:sym w:font="Symbol" w:char="F0B3"/>
            </w:r>
            <w:r>
              <w:t xml:space="preserve"> 3) = 1 – P(</w:t>
            </w:r>
            <w:r>
              <w:rPr>
                <w:i/>
              </w:rPr>
              <w:t>C</w:t>
            </w:r>
            <w:r>
              <w:t xml:space="preserve"> </w:t>
            </w:r>
            <w:r>
              <w:sym w:font="Symbol" w:char="F0A3"/>
            </w:r>
            <w:r>
              <w:t xml:space="preserve"> 2) = 0.1782</w:t>
            </w:r>
          </w:p>
        </w:tc>
        <w:tc>
          <w:tcPr>
            <w:tcW w:w="893" w:type="dxa"/>
          </w:tcPr>
          <w:p w:rsidR="00536E8F" w:rsidRDefault="00536E8F" w:rsidP="00A56532">
            <w:pPr>
              <w:spacing w:before="120" w:after="120"/>
              <w:jc w:val="center"/>
            </w:pPr>
            <w:r>
              <w:t>A1</w:t>
            </w:r>
          </w:p>
          <w:p w:rsidR="00536E8F" w:rsidRPr="00B96873" w:rsidRDefault="00536E8F" w:rsidP="00A56532">
            <w:pPr>
              <w:spacing w:before="120" w:after="120"/>
              <w:jc w:val="center"/>
            </w:pPr>
            <w:r>
              <w:t>1.1b</w:t>
            </w:r>
          </w:p>
        </w:tc>
        <w:tc>
          <w:tcPr>
            <w:tcW w:w="4273" w:type="dxa"/>
          </w:tcPr>
          <w:p w:rsidR="00536E8F" w:rsidRDefault="00536E8F" w:rsidP="0020383E">
            <w:pPr>
              <w:spacing w:before="120" w:after="120"/>
            </w:pPr>
            <w:r>
              <w:t>This mark is given for the correct answer only</w:t>
            </w:r>
          </w:p>
        </w:tc>
      </w:tr>
      <w:tr w:rsidR="00536E8F" w:rsidRPr="00B96873" w:rsidTr="00D33B0D">
        <w:trPr>
          <w:trHeight w:val="58"/>
        </w:trPr>
        <w:tc>
          <w:tcPr>
            <w:tcW w:w="851" w:type="dxa"/>
            <w:vMerge w:val="restart"/>
          </w:tcPr>
          <w:p w:rsidR="00536E8F" w:rsidRDefault="00536E8F" w:rsidP="00A56532">
            <w:pPr>
              <w:spacing w:before="120" w:after="120"/>
              <w:jc w:val="center"/>
            </w:pPr>
            <w:r>
              <w:t>(b)</w:t>
            </w:r>
          </w:p>
        </w:tc>
        <w:tc>
          <w:tcPr>
            <w:tcW w:w="4403" w:type="dxa"/>
          </w:tcPr>
          <w:p w:rsidR="00536E8F" w:rsidRDefault="00536E8F" w:rsidP="00234837">
            <w:pPr>
              <w:spacing w:before="120" w:after="120"/>
            </w:pPr>
            <w:r>
              <w:t xml:space="preserve">Let </w:t>
            </w:r>
            <w:r>
              <w:rPr>
                <w:i/>
              </w:rPr>
              <w:t>X</w:t>
            </w:r>
            <w:r>
              <w:t xml:space="preserve"> = the number of occasions when at least 3 calls are successful</w:t>
            </w:r>
          </w:p>
          <w:p w:rsidR="00536E8F" w:rsidRPr="00234837" w:rsidRDefault="00536E8F" w:rsidP="00E955AF">
            <w:pPr>
              <w:spacing w:before="120" w:after="120"/>
            </w:pPr>
            <w:r>
              <w:t>P(</w:t>
            </w:r>
            <w:r>
              <w:rPr>
                <w:i/>
              </w:rPr>
              <w:t>X</w:t>
            </w:r>
            <w:r>
              <w:t xml:space="preserve"> = 1) = 5 </w:t>
            </w:r>
            <w:r>
              <w:sym w:font="Symbol" w:char="F0B4"/>
            </w:r>
            <w:r>
              <w:t xml:space="preserve"> 0.178 </w:t>
            </w:r>
            <w:r>
              <w:sym w:font="Symbol" w:char="F0B4"/>
            </w:r>
            <w:r>
              <w:t xml:space="preserve"> (0.822)</w:t>
            </w:r>
            <w:r>
              <w:rPr>
                <w:vertAlign w:val="superscript"/>
              </w:rPr>
              <w:t>4</w:t>
            </w:r>
          </w:p>
        </w:tc>
        <w:tc>
          <w:tcPr>
            <w:tcW w:w="893" w:type="dxa"/>
          </w:tcPr>
          <w:p w:rsidR="00536E8F" w:rsidRDefault="00536E8F" w:rsidP="00A56532">
            <w:pPr>
              <w:spacing w:before="120" w:after="120"/>
              <w:jc w:val="center"/>
            </w:pPr>
            <w:r>
              <w:t>M1</w:t>
            </w:r>
          </w:p>
          <w:p w:rsidR="00536E8F" w:rsidRPr="00B96873" w:rsidRDefault="00536E8F" w:rsidP="00A56532">
            <w:pPr>
              <w:spacing w:before="120" w:after="120"/>
              <w:jc w:val="center"/>
            </w:pPr>
            <w:r>
              <w:t>1.1b</w:t>
            </w:r>
          </w:p>
        </w:tc>
        <w:tc>
          <w:tcPr>
            <w:tcW w:w="4273" w:type="dxa"/>
          </w:tcPr>
          <w:p w:rsidR="00536E8F" w:rsidRPr="00E955AF" w:rsidRDefault="00536E8F" w:rsidP="0020383E">
            <w:pPr>
              <w:spacing w:before="120" w:after="120"/>
            </w:pPr>
            <w:r>
              <w:t>This mark is given for a method to find the probability that at least 3 calls will be successful</w:t>
            </w:r>
          </w:p>
        </w:tc>
      </w:tr>
      <w:tr w:rsidR="00536E8F" w:rsidRPr="00B96873" w:rsidTr="00D33B0D">
        <w:trPr>
          <w:trHeight w:val="58"/>
        </w:trPr>
        <w:tc>
          <w:tcPr>
            <w:tcW w:w="851" w:type="dxa"/>
            <w:vMerge/>
          </w:tcPr>
          <w:p w:rsidR="00536E8F" w:rsidRDefault="00536E8F" w:rsidP="00A56532">
            <w:pPr>
              <w:spacing w:before="120" w:after="120"/>
              <w:jc w:val="center"/>
            </w:pPr>
          </w:p>
        </w:tc>
        <w:tc>
          <w:tcPr>
            <w:tcW w:w="4403" w:type="dxa"/>
          </w:tcPr>
          <w:p w:rsidR="00536E8F" w:rsidRPr="00234837" w:rsidRDefault="00536E8F" w:rsidP="00A56532">
            <w:pPr>
              <w:spacing w:before="120" w:after="120"/>
            </w:pPr>
            <w:r w:rsidRPr="00234837">
              <w:t>= 0.406</w:t>
            </w:r>
          </w:p>
        </w:tc>
        <w:tc>
          <w:tcPr>
            <w:tcW w:w="893" w:type="dxa"/>
          </w:tcPr>
          <w:p w:rsidR="00536E8F" w:rsidRDefault="00536E8F" w:rsidP="00A56532">
            <w:pPr>
              <w:spacing w:before="120" w:after="120"/>
              <w:jc w:val="center"/>
            </w:pPr>
            <w:r>
              <w:t>A1</w:t>
            </w:r>
          </w:p>
          <w:p w:rsidR="00536E8F" w:rsidRDefault="00536E8F" w:rsidP="00A56532">
            <w:pPr>
              <w:spacing w:before="120" w:after="120"/>
              <w:jc w:val="center"/>
            </w:pPr>
            <w:r>
              <w:t>1.1b</w:t>
            </w:r>
          </w:p>
        </w:tc>
        <w:tc>
          <w:tcPr>
            <w:tcW w:w="4273" w:type="dxa"/>
          </w:tcPr>
          <w:p w:rsidR="00536E8F" w:rsidRDefault="00536E8F" w:rsidP="00B51689">
            <w:pPr>
              <w:spacing w:before="120" w:after="120"/>
            </w:pPr>
            <w:r>
              <w:t>This mark is given for the correct answer only</w:t>
            </w:r>
          </w:p>
        </w:tc>
      </w:tr>
      <w:tr w:rsidR="00536E8F" w:rsidRPr="00B96873" w:rsidTr="00D33B0D">
        <w:trPr>
          <w:trHeight w:val="58"/>
        </w:trPr>
        <w:tc>
          <w:tcPr>
            <w:tcW w:w="851" w:type="dxa"/>
            <w:vMerge w:val="restart"/>
          </w:tcPr>
          <w:p w:rsidR="00536E8F" w:rsidRDefault="00536E8F" w:rsidP="00A56532">
            <w:pPr>
              <w:spacing w:before="120" w:after="120"/>
              <w:jc w:val="center"/>
            </w:pPr>
            <w:r>
              <w:t>(c)</w:t>
            </w:r>
          </w:p>
        </w:tc>
        <w:tc>
          <w:tcPr>
            <w:tcW w:w="4403" w:type="dxa"/>
          </w:tcPr>
          <w:p w:rsidR="00536E8F" w:rsidRPr="00234837" w:rsidRDefault="00536E8F" w:rsidP="00A56532">
            <w:pPr>
              <w:spacing w:before="120" w:after="120"/>
            </w:pPr>
            <w:r>
              <w:t>H</w:t>
            </w:r>
            <w:r>
              <w:rPr>
                <w:vertAlign w:val="subscript"/>
              </w:rPr>
              <w:t>0</w:t>
            </w:r>
            <w:r>
              <w:t xml:space="preserve"> : </w:t>
            </w:r>
            <w:r>
              <w:rPr>
                <w:i/>
              </w:rPr>
              <w:t>p</w:t>
            </w:r>
            <w:r>
              <w:t xml:space="preserve"> = </w:t>
            </w:r>
            <w:r w:rsidRPr="00234837">
              <w:rPr>
                <w:position w:val="-24"/>
              </w:rPr>
              <w:object w:dxaOrig="240" w:dyaOrig="620">
                <v:shape id="_x0000_i1031" type="#_x0000_t75" style="width:12pt;height:30.75pt" o:ole="">
                  <v:imagedata r:id="rId19" o:title=""/>
                </v:shape>
                <o:OLEObject Type="Embed" ProgID="Equation.3" ShapeID="_x0000_i1031" DrawAspect="Content" ObjectID="_1666781045" r:id="rId20"/>
              </w:object>
            </w:r>
            <w:r>
              <w:t xml:space="preserve">        H</w:t>
            </w:r>
            <w:r>
              <w:rPr>
                <w:vertAlign w:val="subscript"/>
              </w:rPr>
              <w:t>1</w:t>
            </w:r>
            <w:r>
              <w:t xml:space="preserve"> : </w:t>
            </w:r>
            <w:r>
              <w:rPr>
                <w:i/>
              </w:rPr>
              <w:t>p</w:t>
            </w:r>
            <w:r>
              <w:t xml:space="preserve"> &gt; </w:t>
            </w:r>
            <w:r w:rsidRPr="00234837">
              <w:rPr>
                <w:position w:val="-24"/>
              </w:rPr>
              <w:object w:dxaOrig="240" w:dyaOrig="620">
                <v:shape id="_x0000_i1032" type="#_x0000_t75" style="width:12pt;height:30.75pt" o:ole="">
                  <v:imagedata r:id="rId21" o:title=""/>
                </v:shape>
                <o:OLEObject Type="Embed" ProgID="Equation.3" ShapeID="_x0000_i1032" DrawAspect="Content" ObjectID="_1666781046" r:id="rId22"/>
              </w:object>
            </w:r>
          </w:p>
        </w:tc>
        <w:tc>
          <w:tcPr>
            <w:tcW w:w="893" w:type="dxa"/>
          </w:tcPr>
          <w:p w:rsidR="00536E8F" w:rsidRDefault="00536E8F" w:rsidP="00A56532">
            <w:pPr>
              <w:spacing w:before="120" w:after="120"/>
              <w:jc w:val="center"/>
            </w:pPr>
            <w:r>
              <w:t>B1</w:t>
            </w:r>
          </w:p>
          <w:p w:rsidR="00536E8F" w:rsidRDefault="00536E8F" w:rsidP="00A56532">
            <w:pPr>
              <w:spacing w:before="120" w:after="120"/>
              <w:jc w:val="center"/>
            </w:pPr>
            <w:r>
              <w:t>2.5</w:t>
            </w:r>
          </w:p>
        </w:tc>
        <w:tc>
          <w:tcPr>
            <w:tcW w:w="4273" w:type="dxa"/>
          </w:tcPr>
          <w:p w:rsidR="00536E8F" w:rsidRPr="00B367BB" w:rsidRDefault="00536E8F" w:rsidP="00485192">
            <w:pPr>
              <w:spacing w:before="120" w:after="120"/>
              <w:rPr>
                <w:i/>
              </w:rPr>
            </w:pPr>
            <w:r>
              <w:t xml:space="preserve">This mark is given for correctly stating both hypothesis in terms of </w:t>
            </w:r>
            <w:r>
              <w:rPr>
                <w:i/>
              </w:rPr>
              <w:t>p</w:t>
            </w:r>
          </w:p>
        </w:tc>
      </w:tr>
      <w:tr w:rsidR="00536E8F" w:rsidRPr="00B96873" w:rsidTr="00D33B0D">
        <w:trPr>
          <w:trHeight w:val="58"/>
        </w:trPr>
        <w:tc>
          <w:tcPr>
            <w:tcW w:w="851" w:type="dxa"/>
            <w:vMerge/>
          </w:tcPr>
          <w:p w:rsidR="00536E8F" w:rsidRDefault="00536E8F" w:rsidP="00A56532">
            <w:pPr>
              <w:spacing w:before="120" w:after="120"/>
              <w:jc w:val="center"/>
            </w:pPr>
          </w:p>
        </w:tc>
        <w:tc>
          <w:tcPr>
            <w:tcW w:w="4403" w:type="dxa"/>
          </w:tcPr>
          <w:p w:rsidR="00536E8F" w:rsidRDefault="00536E8F" w:rsidP="00A56532">
            <w:pPr>
              <w:spacing w:before="120" w:after="120"/>
            </w:pPr>
            <w:r>
              <w:t xml:space="preserve">Let </w:t>
            </w:r>
            <w:r>
              <w:rPr>
                <w:i/>
              </w:rPr>
              <w:t>R</w:t>
            </w:r>
            <w:r>
              <w:t xml:space="preserve"> = the number of successful calls</w:t>
            </w:r>
          </w:p>
          <w:p w:rsidR="00536E8F" w:rsidRPr="00234837" w:rsidRDefault="00536E8F" w:rsidP="00A56532">
            <w:pPr>
              <w:spacing w:before="120" w:after="120"/>
            </w:pPr>
            <w:r>
              <w:rPr>
                <w:i/>
              </w:rPr>
              <w:t>R</w:t>
            </w:r>
            <w:r>
              <w:t xml:space="preserve"> </w:t>
            </w:r>
            <w:r>
              <w:sym w:font="Symbol" w:char="F07E"/>
            </w:r>
            <w:r>
              <w:t xml:space="preserve"> B </w:t>
            </w:r>
            <w:r w:rsidRPr="00234837">
              <w:rPr>
                <w:position w:val="-28"/>
              </w:rPr>
              <w:object w:dxaOrig="820" w:dyaOrig="680">
                <v:shape id="_x0000_i1033" type="#_x0000_t75" style="width:41.25pt;height:33.75pt" o:ole="">
                  <v:imagedata r:id="rId23" o:title=""/>
                </v:shape>
                <o:OLEObject Type="Embed" ProgID="Equation.3" ShapeID="_x0000_i1033" DrawAspect="Content" ObjectID="_1666781047" r:id="rId24"/>
              </w:object>
            </w:r>
          </w:p>
        </w:tc>
        <w:tc>
          <w:tcPr>
            <w:tcW w:w="893" w:type="dxa"/>
          </w:tcPr>
          <w:p w:rsidR="00536E8F" w:rsidRDefault="00536E8F" w:rsidP="00A56532">
            <w:pPr>
              <w:spacing w:before="120" w:after="120"/>
              <w:jc w:val="center"/>
            </w:pPr>
            <w:r>
              <w:t>M1</w:t>
            </w:r>
          </w:p>
          <w:p w:rsidR="00536E8F" w:rsidRDefault="00536E8F" w:rsidP="00A56532">
            <w:pPr>
              <w:spacing w:before="120" w:after="120"/>
              <w:jc w:val="center"/>
            </w:pPr>
            <w:r>
              <w:t>3.3</w:t>
            </w:r>
          </w:p>
        </w:tc>
        <w:tc>
          <w:tcPr>
            <w:tcW w:w="4273" w:type="dxa"/>
          </w:tcPr>
          <w:p w:rsidR="00536E8F" w:rsidRDefault="00536E8F" w:rsidP="00B51689">
            <w:pPr>
              <w:spacing w:before="120" w:after="120"/>
            </w:pPr>
            <w:r>
              <w:t>This mark is given for selecting a correct model</w:t>
            </w:r>
          </w:p>
        </w:tc>
      </w:tr>
      <w:tr w:rsidR="00536E8F" w:rsidRPr="00B96873" w:rsidTr="00D33B0D">
        <w:trPr>
          <w:trHeight w:val="58"/>
        </w:trPr>
        <w:tc>
          <w:tcPr>
            <w:tcW w:w="851" w:type="dxa"/>
            <w:vMerge/>
          </w:tcPr>
          <w:p w:rsidR="00536E8F" w:rsidRDefault="00536E8F" w:rsidP="00A56532">
            <w:pPr>
              <w:spacing w:before="120" w:after="120"/>
              <w:jc w:val="center"/>
            </w:pPr>
          </w:p>
        </w:tc>
        <w:tc>
          <w:tcPr>
            <w:tcW w:w="4403" w:type="dxa"/>
          </w:tcPr>
          <w:p w:rsidR="00536E8F" w:rsidRPr="00234837" w:rsidRDefault="00536E8F" w:rsidP="00525CE9">
            <w:pPr>
              <w:spacing w:before="120" w:after="120"/>
            </w:pPr>
            <w:r>
              <w:t>P(</w:t>
            </w:r>
            <w:r>
              <w:rPr>
                <w:i/>
              </w:rPr>
              <w:t>R</w:t>
            </w:r>
            <w:r>
              <w:t xml:space="preserve"> </w:t>
            </w:r>
            <w:r>
              <w:sym w:font="Symbol" w:char="F0B3"/>
            </w:r>
            <w:r>
              <w:t xml:space="preserve"> 11) = 1 – P(</w:t>
            </w:r>
            <w:r>
              <w:rPr>
                <w:i/>
              </w:rPr>
              <w:t>R</w:t>
            </w:r>
            <w:r>
              <w:t xml:space="preserve"> </w:t>
            </w:r>
            <w:r>
              <w:sym w:font="Symbol" w:char="F0A3"/>
            </w:r>
            <w:r>
              <w:t xml:space="preserve"> 10) = 0.0232</w:t>
            </w:r>
          </w:p>
        </w:tc>
        <w:tc>
          <w:tcPr>
            <w:tcW w:w="893" w:type="dxa"/>
          </w:tcPr>
          <w:p w:rsidR="00536E8F" w:rsidRDefault="00536E8F" w:rsidP="00A56532">
            <w:pPr>
              <w:spacing w:before="120" w:after="120"/>
              <w:jc w:val="center"/>
            </w:pPr>
            <w:r>
              <w:t>A1</w:t>
            </w:r>
          </w:p>
          <w:p w:rsidR="00536E8F" w:rsidRDefault="00536E8F" w:rsidP="00A56532">
            <w:pPr>
              <w:spacing w:before="120" w:after="120"/>
              <w:jc w:val="center"/>
            </w:pPr>
            <w:r>
              <w:t>3.4</w:t>
            </w:r>
          </w:p>
        </w:tc>
        <w:tc>
          <w:tcPr>
            <w:tcW w:w="4273" w:type="dxa"/>
          </w:tcPr>
          <w:p w:rsidR="00536E8F" w:rsidRDefault="00536E8F" w:rsidP="00B51689">
            <w:pPr>
              <w:spacing w:before="120" w:after="120"/>
            </w:pPr>
            <w:r>
              <w:t>This mark is given for the correct answer only</w:t>
            </w:r>
          </w:p>
        </w:tc>
      </w:tr>
      <w:tr w:rsidR="00536E8F" w:rsidRPr="00B96873" w:rsidTr="00D33B0D">
        <w:trPr>
          <w:trHeight w:val="58"/>
        </w:trPr>
        <w:tc>
          <w:tcPr>
            <w:tcW w:w="851" w:type="dxa"/>
            <w:vMerge/>
          </w:tcPr>
          <w:p w:rsidR="00536E8F" w:rsidRDefault="00536E8F" w:rsidP="00A56532">
            <w:pPr>
              <w:spacing w:before="120" w:after="120"/>
              <w:jc w:val="center"/>
            </w:pPr>
          </w:p>
        </w:tc>
        <w:tc>
          <w:tcPr>
            <w:tcW w:w="4403" w:type="dxa"/>
          </w:tcPr>
          <w:p w:rsidR="00536E8F" w:rsidRPr="00525CE9" w:rsidRDefault="00536E8F" w:rsidP="00234837">
            <w:pPr>
              <w:spacing w:before="120" w:after="120"/>
            </w:pPr>
            <w:r w:rsidRPr="00234837">
              <w:t>There is sufficient evidence to support that Rowan has more succ</w:t>
            </w:r>
            <w:r>
              <w:t>essful sales calls than Afrika</w:t>
            </w:r>
          </w:p>
        </w:tc>
        <w:tc>
          <w:tcPr>
            <w:tcW w:w="893" w:type="dxa"/>
          </w:tcPr>
          <w:p w:rsidR="00536E8F" w:rsidRDefault="00536E8F" w:rsidP="00A56532">
            <w:pPr>
              <w:spacing w:before="120" w:after="120"/>
              <w:jc w:val="center"/>
            </w:pPr>
            <w:r>
              <w:t>A1</w:t>
            </w:r>
          </w:p>
          <w:p w:rsidR="00536E8F" w:rsidRDefault="00536E8F" w:rsidP="00A56532">
            <w:pPr>
              <w:spacing w:before="120" w:after="120"/>
              <w:jc w:val="center"/>
            </w:pPr>
            <w:r>
              <w:t>2.2b</w:t>
            </w:r>
          </w:p>
        </w:tc>
        <w:tc>
          <w:tcPr>
            <w:tcW w:w="4273" w:type="dxa"/>
          </w:tcPr>
          <w:p w:rsidR="00536E8F" w:rsidRPr="00485192" w:rsidRDefault="00536E8F" w:rsidP="00485192">
            <w:pPr>
              <w:spacing w:before="120" w:after="120"/>
            </w:pPr>
            <w:r>
              <w:t>This mark is given for a correct conclusion in context</w:t>
            </w:r>
          </w:p>
        </w:tc>
      </w:tr>
    </w:tbl>
    <w:p w:rsidR="00536E8F" w:rsidRPr="00B92772" w:rsidRDefault="00536E8F" w:rsidP="00830CC6">
      <w:pPr>
        <w:tabs>
          <w:tab w:val="left" w:pos="1944"/>
        </w:tabs>
        <w:spacing w:line="360" w:lineRule="auto"/>
      </w:pPr>
    </w:p>
    <w:sectPr w:rsidR="00536E8F" w:rsidRPr="00B92772" w:rsidSect="00771CA1">
      <w:footerReference w:type="even" r:id="rId25"/>
      <w:footerReference w:type="default" r:id="rId26"/>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E8F" w:rsidRDefault="00536E8F">
      <w:r>
        <w:separator/>
      </w:r>
    </w:p>
  </w:endnote>
  <w:endnote w:type="continuationSeparator" w:id="0">
    <w:p w:rsidR="00536E8F" w:rsidRDefault="00536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8F" w:rsidRDefault="00536E8F"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6E8F" w:rsidRDefault="00536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8F" w:rsidRDefault="00536E8F" w:rsidP="00131E19">
    <w:pPr>
      <w:pStyle w:val="Footer"/>
      <w:tabs>
        <w:tab w:val="clear" w:pos="8306"/>
        <w:tab w:val="right" w:pos="10065"/>
      </w:tabs>
    </w:pPr>
    <w:r w:rsidRPr="001010D2">
      <w:rPr>
        <w:sz w:val="16"/>
        <w:szCs w:val="16"/>
      </w:rPr>
      <w:t xml:space="preserve">GCE </w:t>
    </w:r>
    <w:r>
      <w:rPr>
        <w:sz w:val="16"/>
        <w:szCs w:val="16"/>
      </w:rPr>
      <w:t>AS M</w:t>
    </w:r>
    <w:r w:rsidRPr="001010D2">
      <w:rPr>
        <w:sz w:val="16"/>
        <w:szCs w:val="16"/>
      </w:rPr>
      <w:t xml:space="preserve">athematics </w:t>
    </w:r>
    <w:r>
      <w:rPr>
        <w:sz w:val="16"/>
        <w:szCs w:val="16"/>
      </w:rPr>
      <w:t>(8MA0-21)</w:t>
    </w:r>
    <w:r w:rsidRPr="001010D2">
      <w:rPr>
        <w:sz w:val="16"/>
        <w:szCs w:val="16"/>
      </w:rPr>
      <w:t xml:space="preserve"> – </w:t>
    </w:r>
    <w:r>
      <w:rPr>
        <w:sz w:val="16"/>
        <w:szCs w:val="16"/>
      </w:rPr>
      <w:t>Statistics – October 2020 student-friendly mark scheme (Version 1.1)</w:t>
    </w:r>
  </w:p>
  <w:p w:rsidR="00536E8F" w:rsidRDefault="00536E8F"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36E8F" w:rsidRPr="00ED7EBA" w:rsidRDefault="00536E8F"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December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E8F" w:rsidRDefault="00536E8F">
      <w:r>
        <w:separator/>
      </w:r>
    </w:p>
  </w:footnote>
  <w:footnote w:type="continuationSeparator" w:id="0">
    <w:p w:rsidR="00536E8F" w:rsidRDefault="00536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3CDB"/>
    <w:rsid w:val="00007E3E"/>
    <w:rsid w:val="0001083E"/>
    <w:rsid w:val="00013618"/>
    <w:rsid w:val="00017E4A"/>
    <w:rsid w:val="00020364"/>
    <w:rsid w:val="00023D86"/>
    <w:rsid w:val="00030BA2"/>
    <w:rsid w:val="000351CF"/>
    <w:rsid w:val="00040120"/>
    <w:rsid w:val="0004031B"/>
    <w:rsid w:val="00041561"/>
    <w:rsid w:val="0004245D"/>
    <w:rsid w:val="00042AEF"/>
    <w:rsid w:val="000457A0"/>
    <w:rsid w:val="000465E3"/>
    <w:rsid w:val="000474DA"/>
    <w:rsid w:val="0005022B"/>
    <w:rsid w:val="00057C3B"/>
    <w:rsid w:val="0006156F"/>
    <w:rsid w:val="0006227C"/>
    <w:rsid w:val="00062FB7"/>
    <w:rsid w:val="000830B2"/>
    <w:rsid w:val="0009133D"/>
    <w:rsid w:val="000922F8"/>
    <w:rsid w:val="00093D33"/>
    <w:rsid w:val="000A0384"/>
    <w:rsid w:val="000A03B6"/>
    <w:rsid w:val="000B3338"/>
    <w:rsid w:val="000B40C5"/>
    <w:rsid w:val="000C4A90"/>
    <w:rsid w:val="000C7980"/>
    <w:rsid w:val="000D4D3F"/>
    <w:rsid w:val="000D5860"/>
    <w:rsid w:val="000D5B60"/>
    <w:rsid w:val="000E79E9"/>
    <w:rsid w:val="000E7FDD"/>
    <w:rsid w:val="000F3A78"/>
    <w:rsid w:val="000F6308"/>
    <w:rsid w:val="001010D2"/>
    <w:rsid w:val="00101E8D"/>
    <w:rsid w:val="001123D2"/>
    <w:rsid w:val="0011532A"/>
    <w:rsid w:val="00120AF1"/>
    <w:rsid w:val="001211D1"/>
    <w:rsid w:val="00121A5B"/>
    <w:rsid w:val="00122C59"/>
    <w:rsid w:val="0012449D"/>
    <w:rsid w:val="00131E19"/>
    <w:rsid w:val="00136C3E"/>
    <w:rsid w:val="00142008"/>
    <w:rsid w:val="00142557"/>
    <w:rsid w:val="00150524"/>
    <w:rsid w:val="00165595"/>
    <w:rsid w:val="00166904"/>
    <w:rsid w:val="00167CE4"/>
    <w:rsid w:val="001701E8"/>
    <w:rsid w:val="00170A2A"/>
    <w:rsid w:val="00170B7A"/>
    <w:rsid w:val="00173F78"/>
    <w:rsid w:val="00176C01"/>
    <w:rsid w:val="00180014"/>
    <w:rsid w:val="00182C95"/>
    <w:rsid w:val="00182F73"/>
    <w:rsid w:val="00184D97"/>
    <w:rsid w:val="00190E9A"/>
    <w:rsid w:val="00196523"/>
    <w:rsid w:val="0019790E"/>
    <w:rsid w:val="001A17A7"/>
    <w:rsid w:val="001A2528"/>
    <w:rsid w:val="001A5445"/>
    <w:rsid w:val="001A67FF"/>
    <w:rsid w:val="001A7EA0"/>
    <w:rsid w:val="001B30A3"/>
    <w:rsid w:val="001D1232"/>
    <w:rsid w:val="001D7998"/>
    <w:rsid w:val="001E103C"/>
    <w:rsid w:val="001E2800"/>
    <w:rsid w:val="001E79A2"/>
    <w:rsid w:val="001F0BDC"/>
    <w:rsid w:val="001F3055"/>
    <w:rsid w:val="001F6547"/>
    <w:rsid w:val="002007A4"/>
    <w:rsid w:val="00200BD5"/>
    <w:rsid w:val="0020383E"/>
    <w:rsid w:val="00204288"/>
    <w:rsid w:val="00213C85"/>
    <w:rsid w:val="002157E4"/>
    <w:rsid w:val="00221079"/>
    <w:rsid w:val="002246F4"/>
    <w:rsid w:val="00224960"/>
    <w:rsid w:val="0022594E"/>
    <w:rsid w:val="00234837"/>
    <w:rsid w:val="00240768"/>
    <w:rsid w:val="00240DE6"/>
    <w:rsid w:val="00241DD1"/>
    <w:rsid w:val="00250D16"/>
    <w:rsid w:val="00254E21"/>
    <w:rsid w:val="002560EC"/>
    <w:rsid w:val="0026367B"/>
    <w:rsid w:val="00264A9F"/>
    <w:rsid w:val="00272A40"/>
    <w:rsid w:val="002769ED"/>
    <w:rsid w:val="00277D29"/>
    <w:rsid w:val="00290142"/>
    <w:rsid w:val="002922C4"/>
    <w:rsid w:val="00297364"/>
    <w:rsid w:val="0029784E"/>
    <w:rsid w:val="002A221E"/>
    <w:rsid w:val="002A58CA"/>
    <w:rsid w:val="002B1A7E"/>
    <w:rsid w:val="002B45C6"/>
    <w:rsid w:val="002B6F6A"/>
    <w:rsid w:val="002C12EE"/>
    <w:rsid w:val="002C40BF"/>
    <w:rsid w:val="002C4A08"/>
    <w:rsid w:val="002C518D"/>
    <w:rsid w:val="002D3A84"/>
    <w:rsid w:val="002D3C25"/>
    <w:rsid w:val="002D3F29"/>
    <w:rsid w:val="002D54F4"/>
    <w:rsid w:val="002E2FFB"/>
    <w:rsid w:val="002F5AD2"/>
    <w:rsid w:val="00302D55"/>
    <w:rsid w:val="003073F5"/>
    <w:rsid w:val="00307B6A"/>
    <w:rsid w:val="00311DA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A7933"/>
    <w:rsid w:val="003B62CF"/>
    <w:rsid w:val="003C19CB"/>
    <w:rsid w:val="003C203C"/>
    <w:rsid w:val="003C490C"/>
    <w:rsid w:val="003D0A6B"/>
    <w:rsid w:val="003D1230"/>
    <w:rsid w:val="003D2011"/>
    <w:rsid w:val="003D4C4F"/>
    <w:rsid w:val="003D604E"/>
    <w:rsid w:val="003E3C5D"/>
    <w:rsid w:val="003E44B0"/>
    <w:rsid w:val="003E4A99"/>
    <w:rsid w:val="003E746C"/>
    <w:rsid w:val="003F10D1"/>
    <w:rsid w:val="003F16EB"/>
    <w:rsid w:val="003F401C"/>
    <w:rsid w:val="003F632F"/>
    <w:rsid w:val="003F6C34"/>
    <w:rsid w:val="003F7354"/>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465E7"/>
    <w:rsid w:val="0045144E"/>
    <w:rsid w:val="00451CD4"/>
    <w:rsid w:val="0045244A"/>
    <w:rsid w:val="00453A3F"/>
    <w:rsid w:val="00454625"/>
    <w:rsid w:val="00455270"/>
    <w:rsid w:val="004567D6"/>
    <w:rsid w:val="00463786"/>
    <w:rsid w:val="004661C6"/>
    <w:rsid w:val="00467517"/>
    <w:rsid w:val="00472F53"/>
    <w:rsid w:val="00480E70"/>
    <w:rsid w:val="00483F84"/>
    <w:rsid w:val="00485192"/>
    <w:rsid w:val="004872C7"/>
    <w:rsid w:val="00495338"/>
    <w:rsid w:val="004A0D41"/>
    <w:rsid w:val="004A10F9"/>
    <w:rsid w:val="004A2273"/>
    <w:rsid w:val="004A59A6"/>
    <w:rsid w:val="004A5F03"/>
    <w:rsid w:val="004A65A8"/>
    <w:rsid w:val="004B1018"/>
    <w:rsid w:val="004B1F12"/>
    <w:rsid w:val="004B6282"/>
    <w:rsid w:val="004B6933"/>
    <w:rsid w:val="004C0206"/>
    <w:rsid w:val="004E2E1D"/>
    <w:rsid w:val="004F2FCC"/>
    <w:rsid w:val="004F43A7"/>
    <w:rsid w:val="004F5F18"/>
    <w:rsid w:val="00500B77"/>
    <w:rsid w:val="005018B0"/>
    <w:rsid w:val="00503451"/>
    <w:rsid w:val="00507F52"/>
    <w:rsid w:val="00511255"/>
    <w:rsid w:val="0051200B"/>
    <w:rsid w:val="00512049"/>
    <w:rsid w:val="005133C1"/>
    <w:rsid w:val="00513B7E"/>
    <w:rsid w:val="00513BF8"/>
    <w:rsid w:val="00515DE2"/>
    <w:rsid w:val="005221E3"/>
    <w:rsid w:val="005247BD"/>
    <w:rsid w:val="00525CE9"/>
    <w:rsid w:val="0052625D"/>
    <w:rsid w:val="00526403"/>
    <w:rsid w:val="00527AA7"/>
    <w:rsid w:val="00530A63"/>
    <w:rsid w:val="00532ADB"/>
    <w:rsid w:val="00533E31"/>
    <w:rsid w:val="00534F6B"/>
    <w:rsid w:val="005361BE"/>
    <w:rsid w:val="00536E8F"/>
    <w:rsid w:val="0055000A"/>
    <w:rsid w:val="00553573"/>
    <w:rsid w:val="005550D9"/>
    <w:rsid w:val="00557EDF"/>
    <w:rsid w:val="0056232A"/>
    <w:rsid w:val="00565B79"/>
    <w:rsid w:val="005723BA"/>
    <w:rsid w:val="005758AD"/>
    <w:rsid w:val="00575EBD"/>
    <w:rsid w:val="00576489"/>
    <w:rsid w:val="00577FA0"/>
    <w:rsid w:val="00585300"/>
    <w:rsid w:val="005911D2"/>
    <w:rsid w:val="00591CCA"/>
    <w:rsid w:val="005946CD"/>
    <w:rsid w:val="00595135"/>
    <w:rsid w:val="00595EF9"/>
    <w:rsid w:val="005A13A4"/>
    <w:rsid w:val="005A37B4"/>
    <w:rsid w:val="005A46C4"/>
    <w:rsid w:val="005A695B"/>
    <w:rsid w:val="005B1029"/>
    <w:rsid w:val="005B4E2A"/>
    <w:rsid w:val="005B7CC4"/>
    <w:rsid w:val="005C10E6"/>
    <w:rsid w:val="005C406D"/>
    <w:rsid w:val="005D342B"/>
    <w:rsid w:val="005D46B0"/>
    <w:rsid w:val="005D6D44"/>
    <w:rsid w:val="005E15BE"/>
    <w:rsid w:val="005E63F0"/>
    <w:rsid w:val="005E7426"/>
    <w:rsid w:val="005E7E9E"/>
    <w:rsid w:val="005F3056"/>
    <w:rsid w:val="00606543"/>
    <w:rsid w:val="0060766A"/>
    <w:rsid w:val="00610D27"/>
    <w:rsid w:val="00616D67"/>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65BAE"/>
    <w:rsid w:val="0066644A"/>
    <w:rsid w:val="00670BAA"/>
    <w:rsid w:val="00672A22"/>
    <w:rsid w:val="0067356D"/>
    <w:rsid w:val="006742D6"/>
    <w:rsid w:val="0067664C"/>
    <w:rsid w:val="006804FF"/>
    <w:rsid w:val="00681B09"/>
    <w:rsid w:val="006821C1"/>
    <w:rsid w:val="00682EE1"/>
    <w:rsid w:val="00687CD8"/>
    <w:rsid w:val="00692367"/>
    <w:rsid w:val="0069349F"/>
    <w:rsid w:val="0069662F"/>
    <w:rsid w:val="006975A0"/>
    <w:rsid w:val="006A0BA9"/>
    <w:rsid w:val="006A0D02"/>
    <w:rsid w:val="006A3DC7"/>
    <w:rsid w:val="006B051E"/>
    <w:rsid w:val="006B13BD"/>
    <w:rsid w:val="006B2315"/>
    <w:rsid w:val="006B5FD1"/>
    <w:rsid w:val="006B76FA"/>
    <w:rsid w:val="006C2273"/>
    <w:rsid w:val="006C2C7F"/>
    <w:rsid w:val="006C4B91"/>
    <w:rsid w:val="006C523B"/>
    <w:rsid w:val="006C61F1"/>
    <w:rsid w:val="006E4D66"/>
    <w:rsid w:val="006F4083"/>
    <w:rsid w:val="006F54F8"/>
    <w:rsid w:val="006F7544"/>
    <w:rsid w:val="007009BC"/>
    <w:rsid w:val="00700A45"/>
    <w:rsid w:val="00702297"/>
    <w:rsid w:val="00702F7F"/>
    <w:rsid w:val="00715C2B"/>
    <w:rsid w:val="00717435"/>
    <w:rsid w:val="007203B9"/>
    <w:rsid w:val="007211A3"/>
    <w:rsid w:val="00722B98"/>
    <w:rsid w:val="007233FA"/>
    <w:rsid w:val="0072618B"/>
    <w:rsid w:val="00727EF2"/>
    <w:rsid w:val="00731BB5"/>
    <w:rsid w:val="00732550"/>
    <w:rsid w:val="007355AF"/>
    <w:rsid w:val="00741103"/>
    <w:rsid w:val="00741694"/>
    <w:rsid w:val="00742043"/>
    <w:rsid w:val="00747B8B"/>
    <w:rsid w:val="00764320"/>
    <w:rsid w:val="007707E2"/>
    <w:rsid w:val="00770EAA"/>
    <w:rsid w:val="00771B08"/>
    <w:rsid w:val="00771B8C"/>
    <w:rsid w:val="00771CA1"/>
    <w:rsid w:val="00772230"/>
    <w:rsid w:val="0077680F"/>
    <w:rsid w:val="007807C2"/>
    <w:rsid w:val="00781CEC"/>
    <w:rsid w:val="00783079"/>
    <w:rsid w:val="007835B7"/>
    <w:rsid w:val="00786510"/>
    <w:rsid w:val="00791643"/>
    <w:rsid w:val="00792922"/>
    <w:rsid w:val="007A34C1"/>
    <w:rsid w:val="007A4567"/>
    <w:rsid w:val="007A472B"/>
    <w:rsid w:val="007C0B81"/>
    <w:rsid w:val="007C3B84"/>
    <w:rsid w:val="007C5139"/>
    <w:rsid w:val="007D3BCF"/>
    <w:rsid w:val="007D6603"/>
    <w:rsid w:val="007E08A6"/>
    <w:rsid w:val="007E1706"/>
    <w:rsid w:val="007E6638"/>
    <w:rsid w:val="007F3426"/>
    <w:rsid w:val="007F7B7C"/>
    <w:rsid w:val="008014A6"/>
    <w:rsid w:val="0080363F"/>
    <w:rsid w:val="008079B3"/>
    <w:rsid w:val="008113C0"/>
    <w:rsid w:val="0081358A"/>
    <w:rsid w:val="00813902"/>
    <w:rsid w:val="00824A41"/>
    <w:rsid w:val="00830CC6"/>
    <w:rsid w:val="0083159E"/>
    <w:rsid w:val="008344FF"/>
    <w:rsid w:val="00845E29"/>
    <w:rsid w:val="00846EEB"/>
    <w:rsid w:val="00850F89"/>
    <w:rsid w:val="00853FC6"/>
    <w:rsid w:val="008573B8"/>
    <w:rsid w:val="00860943"/>
    <w:rsid w:val="00863E9F"/>
    <w:rsid w:val="00864A8C"/>
    <w:rsid w:val="0088066B"/>
    <w:rsid w:val="0088293E"/>
    <w:rsid w:val="008831F7"/>
    <w:rsid w:val="00884180"/>
    <w:rsid w:val="00893911"/>
    <w:rsid w:val="008967CC"/>
    <w:rsid w:val="008970ED"/>
    <w:rsid w:val="008A1953"/>
    <w:rsid w:val="008A3073"/>
    <w:rsid w:val="008A367F"/>
    <w:rsid w:val="008A45A5"/>
    <w:rsid w:val="008C0EFA"/>
    <w:rsid w:val="008C2DF2"/>
    <w:rsid w:val="008D04B1"/>
    <w:rsid w:val="008D71B0"/>
    <w:rsid w:val="008E2552"/>
    <w:rsid w:val="008E28CA"/>
    <w:rsid w:val="008E416B"/>
    <w:rsid w:val="008E52AF"/>
    <w:rsid w:val="008F1323"/>
    <w:rsid w:val="008F5DA2"/>
    <w:rsid w:val="008F68E6"/>
    <w:rsid w:val="008F6D84"/>
    <w:rsid w:val="008F768C"/>
    <w:rsid w:val="00901AAC"/>
    <w:rsid w:val="009028D4"/>
    <w:rsid w:val="00910CD8"/>
    <w:rsid w:val="009118B1"/>
    <w:rsid w:val="0091221C"/>
    <w:rsid w:val="0092175E"/>
    <w:rsid w:val="00923ECC"/>
    <w:rsid w:val="0092507A"/>
    <w:rsid w:val="0092794A"/>
    <w:rsid w:val="009311DE"/>
    <w:rsid w:val="009329F1"/>
    <w:rsid w:val="009371DB"/>
    <w:rsid w:val="009454DF"/>
    <w:rsid w:val="0094572E"/>
    <w:rsid w:val="00946744"/>
    <w:rsid w:val="00946D58"/>
    <w:rsid w:val="00950AE3"/>
    <w:rsid w:val="009609E6"/>
    <w:rsid w:val="00964994"/>
    <w:rsid w:val="00967B80"/>
    <w:rsid w:val="00967F5D"/>
    <w:rsid w:val="00974F59"/>
    <w:rsid w:val="009818CD"/>
    <w:rsid w:val="00981F1F"/>
    <w:rsid w:val="00981FB9"/>
    <w:rsid w:val="009842FE"/>
    <w:rsid w:val="00985D9D"/>
    <w:rsid w:val="009869EC"/>
    <w:rsid w:val="00987355"/>
    <w:rsid w:val="00987722"/>
    <w:rsid w:val="00991FD9"/>
    <w:rsid w:val="00993086"/>
    <w:rsid w:val="0099704C"/>
    <w:rsid w:val="009B00A8"/>
    <w:rsid w:val="009B2F4F"/>
    <w:rsid w:val="009C024C"/>
    <w:rsid w:val="009C2E9A"/>
    <w:rsid w:val="009C31EE"/>
    <w:rsid w:val="009C4D6A"/>
    <w:rsid w:val="009C59D6"/>
    <w:rsid w:val="009C71BA"/>
    <w:rsid w:val="009C7A92"/>
    <w:rsid w:val="009C7AA7"/>
    <w:rsid w:val="009D225A"/>
    <w:rsid w:val="009D4D47"/>
    <w:rsid w:val="009D51EF"/>
    <w:rsid w:val="009D714B"/>
    <w:rsid w:val="009D7D2E"/>
    <w:rsid w:val="009E1616"/>
    <w:rsid w:val="009E2BCD"/>
    <w:rsid w:val="009F4580"/>
    <w:rsid w:val="009F5D73"/>
    <w:rsid w:val="00A024BA"/>
    <w:rsid w:val="00A0444B"/>
    <w:rsid w:val="00A1006D"/>
    <w:rsid w:val="00A11707"/>
    <w:rsid w:val="00A219DD"/>
    <w:rsid w:val="00A2357B"/>
    <w:rsid w:val="00A24ACF"/>
    <w:rsid w:val="00A25B9D"/>
    <w:rsid w:val="00A26D93"/>
    <w:rsid w:val="00A30217"/>
    <w:rsid w:val="00A31BFF"/>
    <w:rsid w:val="00A31D4F"/>
    <w:rsid w:val="00A3222B"/>
    <w:rsid w:val="00A379D2"/>
    <w:rsid w:val="00A458FF"/>
    <w:rsid w:val="00A56532"/>
    <w:rsid w:val="00A63093"/>
    <w:rsid w:val="00A71E90"/>
    <w:rsid w:val="00A730CE"/>
    <w:rsid w:val="00A82512"/>
    <w:rsid w:val="00A82B1F"/>
    <w:rsid w:val="00A911CA"/>
    <w:rsid w:val="00AC1625"/>
    <w:rsid w:val="00AC177D"/>
    <w:rsid w:val="00AD267A"/>
    <w:rsid w:val="00AD3BE4"/>
    <w:rsid w:val="00AE23EF"/>
    <w:rsid w:val="00AE61F9"/>
    <w:rsid w:val="00AF4CEF"/>
    <w:rsid w:val="00AF67F6"/>
    <w:rsid w:val="00B0215B"/>
    <w:rsid w:val="00B04D63"/>
    <w:rsid w:val="00B06B46"/>
    <w:rsid w:val="00B127C9"/>
    <w:rsid w:val="00B14911"/>
    <w:rsid w:val="00B1628D"/>
    <w:rsid w:val="00B166F7"/>
    <w:rsid w:val="00B20827"/>
    <w:rsid w:val="00B22228"/>
    <w:rsid w:val="00B22248"/>
    <w:rsid w:val="00B32B93"/>
    <w:rsid w:val="00B32F2E"/>
    <w:rsid w:val="00B35801"/>
    <w:rsid w:val="00B367BB"/>
    <w:rsid w:val="00B36ABD"/>
    <w:rsid w:val="00B37317"/>
    <w:rsid w:val="00B40CF4"/>
    <w:rsid w:val="00B40EA5"/>
    <w:rsid w:val="00B41E1F"/>
    <w:rsid w:val="00B51689"/>
    <w:rsid w:val="00B646D1"/>
    <w:rsid w:val="00B70CBE"/>
    <w:rsid w:val="00B73CB9"/>
    <w:rsid w:val="00B73E2B"/>
    <w:rsid w:val="00B74730"/>
    <w:rsid w:val="00B74DBA"/>
    <w:rsid w:val="00B85D02"/>
    <w:rsid w:val="00B905EC"/>
    <w:rsid w:val="00B90D79"/>
    <w:rsid w:val="00B91D7C"/>
    <w:rsid w:val="00B92772"/>
    <w:rsid w:val="00B955BA"/>
    <w:rsid w:val="00B95B17"/>
    <w:rsid w:val="00B967B4"/>
    <w:rsid w:val="00B96873"/>
    <w:rsid w:val="00B970E8"/>
    <w:rsid w:val="00B97CC1"/>
    <w:rsid w:val="00BA333C"/>
    <w:rsid w:val="00BA3B45"/>
    <w:rsid w:val="00BA47F3"/>
    <w:rsid w:val="00BA6935"/>
    <w:rsid w:val="00BA6DC6"/>
    <w:rsid w:val="00BB53AA"/>
    <w:rsid w:val="00BC0A6E"/>
    <w:rsid w:val="00BC1859"/>
    <w:rsid w:val="00BC49B0"/>
    <w:rsid w:val="00BD0D17"/>
    <w:rsid w:val="00BD29BA"/>
    <w:rsid w:val="00BD61B8"/>
    <w:rsid w:val="00BE3CB4"/>
    <w:rsid w:val="00BF30B7"/>
    <w:rsid w:val="00BF32EE"/>
    <w:rsid w:val="00BF5FA1"/>
    <w:rsid w:val="00BF617A"/>
    <w:rsid w:val="00BF6FAB"/>
    <w:rsid w:val="00C0110E"/>
    <w:rsid w:val="00C01385"/>
    <w:rsid w:val="00C01B60"/>
    <w:rsid w:val="00C068E5"/>
    <w:rsid w:val="00C11D8A"/>
    <w:rsid w:val="00C14AFC"/>
    <w:rsid w:val="00C213E0"/>
    <w:rsid w:val="00C222CE"/>
    <w:rsid w:val="00C225FF"/>
    <w:rsid w:val="00C257D9"/>
    <w:rsid w:val="00C378C8"/>
    <w:rsid w:val="00C40EB5"/>
    <w:rsid w:val="00C41039"/>
    <w:rsid w:val="00C4741F"/>
    <w:rsid w:val="00C50A78"/>
    <w:rsid w:val="00C54617"/>
    <w:rsid w:val="00C55C8E"/>
    <w:rsid w:val="00C57BD2"/>
    <w:rsid w:val="00C627AE"/>
    <w:rsid w:val="00C63B64"/>
    <w:rsid w:val="00C63C24"/>
    <w:rsid w:val="00C7019C"/>
    <w:rsid w:val="00C7099F"/>
    <w:rsid w:val="00C72CA5"/>
    <w:rsid w:val="00C72D2B"/>
    <w:rsid w:val="00C77E07"/>
    <w:rsid w:val="00C86B72"/>
    <w:rsid w:val="00C9155F"/>
    <w:rsid w:val="00C92609"/>
    <w:rsid w:val="00C94A47"/>
    <w:rsid w:val="00C96701"/>
    <w:rsid w:val="00C97334"/>
    <w:rsid w:val="00CA1D38"/>
    <w:rsid w:val="00CA6D9B"/>
    <w:rsid w:val="00CB0749"/>
    <w:rsid w:val="00CB2001"/>
    <w:rsid w:val="00CB214D"/>
    <w:rsid w:val="00CB4356"/>
    <w:rsid w:val="00CC119D"/>
    <w:rsid w:val="00CC322A"/>
    <w:rsid w:val="00CC7930"/>
    <w:rsid w:val="00CD276D"/>
    <w:rsid w:val="00CD6F16"/>
    <w:rsid w:val="00CD6F4F"/>
    <w:rsid w:val="00CD6FF4"/>
    <w:rsid w:val="00CE2299"/>
    <w:rsid w:val="00CE44CE"/>
    <w:rsid w:val="00CF0165"/>
    <w:rsid w:val="00CF04EB"/>
    <w:rsid w:val="00CF312E"/>
    <w:rsid w:val="00CF7FCC"/>
    <w:rsid w:val="00D0250C"/>
    <w:rsid w:val="00D0578B"/>
    <w:rsid w:val="00D127D7"/>
    <w:rsid w:val="00D138CB"/>
    <w:rsid w:val="00D13D10"/>
    <w:rsid w:val="00D168C9"/>
    <w:rsid w:val="00D23ACC"/>
    <w:rsid w:val="00D3328A"/>
    <w:rsid w:val="00D33B0D"/>
    <w:rsid w:val="00D357F0"/>
    <w:rsid w:val="00D43E8F"/>
    <w:rsid w:val="00D4460B"/>
    <w:rsid w:val="00D456D3"/>
    <w:rsid w:val="00D4698F"/>
    <w:rsid w:val="00D469BF"/>
    <w:rsid w:val="00D51348"/>
    <w:rsid w:val="00D57D6F"/>
    <w:rsid w:val="00D60264"/>
    <w:rsid w:val="00D61A72"/>
    <w:rsid w:val="00D61D86"/>
    <w:rsid w:val="00D630BF"/>
    <w:rsid w:val="00D64DF8"/>
    <w:rsid w:val="00D66DAD"/>
    <w:rsid w:val="00D72EE0"/>
    <w:rsid w:val="00D9141C"/>
    <w:rsid w:val="00D9166C"/>
    <w:rsid w:val="00D94140"/>
    <w:rsid w:val="00DA172D"/>
    <w:rsid w:val="00DB0ADF"/>
    <w:rsid w:val="00DB7499"/>
    <w:rsid w:val="00DC0778"/>
    <w:rsid w:val="00DC4B9E"/>
    <w:rsid w:val="00DD07FC"/>
    <w:rsid w:val="00DD1AAA"/>
    <w:rsid w:val="00DD2CB9"/>
    <w:rsid w:val="00DF59E0"/>
    <w:rsid w:val="00E03CF2"/>
    <w:rsid w:val="00E07D76"/>
    <w:rsid w:val="00E12384"/>
    <w:rsid w:val="00E134D4"/>
    <w:rsid w:val="00E20C09"/>
    <w:rsid w:val="00E2472A"/>
    <w:rsid w:val="00E24F4D"/>
    <w:rsid w:val="00E31DFA"/>
    <w:rsid w:val="00E41561"/>
    <w:rsid w:val="00E424B3"/>
    <w:rsid w:val="00E43B5B"/>
    <w:rsid w:val="00E55CE1"/>
    <w:rsid w:val="00E564C2"/>
    <w:rsid w:val="00E602FF"/>
    <w:rsid w:val="00E617CB"/>
    <w:rsid w:val="00E6492C"/>
    <w:rsid w:val="00E661FF"/>
    <w:rsid w:val="00E729F9"/>
    <w:rsid w:val="00E74AD5"/>
    <w:rsid w:val="00E751E5"/>
    <w:rsid w:val="00E75CC1"/>
    <w:rsid w:val="00E772D1"/>
    <w:rsid w:val="00E83576"/>
    <w:rsid w:val="00E91251"/>
    <w:rsid w:val="00E9192A"/>
    <w:rsid w:val="00E91D5C"/>
    <w:rsid w:val="00E93912"/>
    <w:rsid w:val="00E95213"/>
    <w:rsid w:val="00E955AF"/>
    <w:rsid w:val="00EA07C2"/>
    <w:rsid w:val="00EA0E5D"/>
    <w:rsid w:val="00EA1885"/>
    <w:rsid w:val="00EA30E9"/>
    <w:rsid w:val="00EA3494"/>
    <w:rsid w:val="00EA6853"/>
    <w:rsid w:val="00EA6F1F"/>
    <w:rsid w:val="00EB4993"/>
    <w:rsid w:val="00EB5CE0"/>
    <w:rsid w:val="00EC43FA"/>
    <w:rsid w:val="00EC4C52"/>
    <w:rsid w:val="00EC6E5E"/>
    <w:rsid w:val="00ED2AC3"/>
    <w:rsid w:val="00ED36E7"/>
    <w:rsid w:val="00ED502B"/>
    <w:rsid w:val="00ED5C9F"/>
    <w:rsid w:val="00ED7EBA"/>
    <w:rsid w:val="00EE0274"/>
    <w:rsid w:val="00EE3094"/>
    <w:rsid w:val="00EE7896"/>
    <w:rsid w:val="00EF0BF0"/>
    <w:rsid w:val="00EF37E6"/>
    <w:rsid w:val="00EF390A"/>
    <w:rsid w:val="00EF581C"/>
    <w:rsid w:val="00F01877"/>
    <w:rsid w:val="00F0427B"/>
    <w:rsid w:val="00F04CA5"/>
    <w:rsid w:val="00F0754A"/>
    <w:rsid w:val="00F11D2E"/>
    <w:rsid w:val="00F17796"/>
    <w:rsid w:val="00F24AF9"/>
    <w:rsid w:val="00F25FA2"/>
    <w:rsid w:val="00F27868"/>
    <w:rsid w:val="00F32ABA"/>
    <w:rsid w:val="00F402B9"/>
    <w:rsid w:val="00F40A22"/>
    <w:rsid w:val="00F462F1"/>
    <w:rsid w:val="00F46888"/>
    <w:rsid w:val="00F5042B"/>
    <w:rsid w:val="00F50479"/>
    <w:rsid w:val="00F52200"/>
    <w:rsid w:val="00F55A89"/>
    <w:rsid w:val="00F57954"/>
    <w:rsid w:val="00F64B67"/>
    <w:rsid w:val="00F656AF"/>
    <w:rsid w:val="00F6596D"/>
    <w:rsid w:val="00F73BC4"/>
    <w:rsid w:val="00F73E9A"/>
    <w:rsid w:val="00F817EE"/>
    <w:rsid w:val="00F83368"/>
    <w:rsid w:val="00F837A4"/>
    <w:rsid w:val="00F83AED"/>
    <w:rsid w:val="00F83B30"/>
    <w:rsid w:val="00F869A4"/>
    <w:rsid w:val="00F86D03"/>
    <w:rsid w:val="00F921A2"/>
    <w:rsid w:val="00F92773"/>
    <w:rsid w:val="00F957D2"/>
    <w:rsid w:val="00F96BF6"/>
    <w:rsid w:val="00FA0F62"/>
    <w:rsid w:val="00FA38CF"/>
    <w:rsid w:val="00FA3978"/>
    <w:rsid w:val="00FA3AA3"/>
    <w:rsid w:val="00FA3B94"/>
    <w:rsid w:val="00FA3E11"/>
    <w:rsid w:val="00FA4459"/>
    <w:rsid w:val="00FA5FE6"/>
    <w:rsid w:val="00FA6E7A"/>
    <w:rsid w:val="00FB28E0"/>
    <w:rsid w:val="00FB29F8"/>
    <w:rsid w:val="00FB2D1E"/>
    <w:rsid w:val="00FB433C"/>
    <w:rsid w:val="00FC12CD"/>
    <w:rsid w:val="00FC3880"/>
    <w:rsid w:val="00FC67B3"/>
    <w:rsid w:val="00FE2AAF"/>
    <w:rsid w:val="00FE3DE0"/>
    <w:rsid w:val="00FE48B0"/>
    <w:rsid w:val="00FE4F2E"/>
    <w:rsid w:val="00FF15F4"/>
    <w:rsid w:val="00FF249B"/>
    <w:rsid w:val="00FF507F"/>
    <w:rsid w:val="00FF6429"/>
    <w:rsid w:val="00FF7C4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61059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5</Pages>
  <Words>777</Words>
  <Characters>4430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10</cp:revision>
  <cp:lastPrinted>2018-05-29T07:32:00Z</cp:lastPrinted>
  <dcterms:created xsi:type="dcterms:W3CDTF">2020-11-06T14:42:00Z</dcterms:created>
  <dcterms:modified xsi:type="dcterms:W3CDTF">2020-11-13T13:57:00Z</dcterms:modified>
</cp:coreProperties>
</file>